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DC86F7">
      <w:pPr>
        <w:kinsoku w:val="0"/>
        <w:autoSpaceDE w:val="0"/>
        <w:autoSpaceDN w:val="0"/>
        <w:adjustRightInd w:val="0"/>
        <w:snapToGrid w:val="0"/>
        <w:spacing w:before="167" w:line="233" w:lineRule="auto"/>
        <w:textAlignment w:val="baseline"/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9"/>
          <w:sz w:val="44"/>
          <w:szCs w:val="44"/>
          <w:lang w:val="en-US" w:eastAsia="zh-CN" w:bidi="ar-SA"/>
        </w:rPr>
      </w:pPr>
    </w:p>
    <w:p w14:paraId="0CC1C6A9">
      <w:pPr>
        <w:kinsoku w:val="0"/>
        <w:autoSpaceDE w:val="0"/>
        <w:autoSpaceDN w:val="0"/>
        <w:adjustRightInd w:val="0"/>
        <w:snapToGrid w:val="0"/>
        <w:spacing w:before="167" w:line="233" w:lineRule="auto"/>
        <w:jc w:val="center"/>
        <w:textAlignment w:val="baseline"/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9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9"/>
          <w:sz w:val="44"/>
          <w:szCs w:val="44"/>
          <w:lang w:val="en-US" w:eastAsia="zh-CN" w:bidi="ar-SA"/>
        </w:rPr>
        <w:t>2025年宁波市监理工程技术人员职业技能竞赛</w:t>
      </w:r>
    </w:p>
    <w:p w14:paraId="4356F2D2">
      <w:pPr>
        <w:kinsoku w:val="0"/>
        <w:autoSpaceDE w:val="0"/>
        <w:autoSpaceDN w:val="0"/>
        <w:adjustRightInd w:val="0"/>
        <w:snapToGrid w:val="0"/>
        <w:spacing w:before="167" w:line="233" w:lineRule="auto"/>
        <w:jc w:val="center"/>
        <w:textAlignment w:val="baseline"/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9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9"/>
          <w:sz w:val="44"/>
          <w:szCs w:val="44"/>
          <w:lang w:val="en-US" w:eastAsia="zh-CN" w:bidi="ar-SA"/>
        </w:rPr>
        <w:t>技术文件</w:t>
      </w:r>
    </w:p>
    <w:p w14:paraId="4612164A">
      <w:pPr>
        <w:pStyle w:val="16"/>
        <w:bidi w:val="0"/>
        <w:jc w:val="center"/>
        <w:rPr>
          <w:rFonts w:hint="eastAsia" w:ascii="方正小标宋简体" w:hAnsi="方正小标宋简体" w:eastAsia="方正小标宋简体" w:cs="方正小标宋简体"/>
          <w:spacing w:val="9"/>
          <w:sz w:val="44"/>
          <w:szCs w:val="44"/>
        </w:rPr>
      </w:pPr>
    </w:p>
    <w:p w14:paraId="1362F92D">
      <w:pPr>
        <w:pStyle w:val="16"/>
        <w:bidi w:val="0"/>
        <w:jc w:val="center"/>
        <w:rPr>
          <w:rFonts w:hint="eastAsia" w:ascii="方正小标宋简体" w:hAnsi="方正小标宋简体" w:eastAsia="方正小标宋简体" w:cs="方正小标宋简体"/>
          <w:spacing w:val="9"/>
          <w:sz w:val="44"/>
          <w:szCs w:val="44"/>
        </w:rPr>
      </w:pPr>
      <w:bookmarkStart w:id="62" w:name="_GoBack"/>
      <w:bookmarkEnd w:id="62"/>
    </w:p>
    <w:p w14:paraId="32BDE134">
      <w:pPr>
        <w:pStyle w:val="16"/>
        <w:bidi w:val="0"/>
        <w:jc w:val="center"/>
        <w:rPr>
          <w:rFonts w:hint="eastAsia" w:ascii="方正小标宋简体" w:hAnsi="方正小标宋简体" w:eastAsia="方正小标宋简体" w:cs="方正小标宋简体"/>
          <w:spacing w:val="9"/>
          <w:sz w:val="44"/>
          <w:szCs w:val="44"/>
        </w:rPr>
      </w:pPr>
    </w:p>
    <w:p w14:paraId="6B4F406E">
      <w:pPr>
        <w:pStyle w:val="16"/>
        <w:bidi w:val="0"/>
        <w:jc w:val="center"/>
        <w:rPr>
          <w:rFonts w:hint="eastAsia" w:ascii="方正小标宋简体" w:hAnsi="方正小标宋简体" w:eastAsia="方正小标宋简体" w:cs="方正小标宋简体"/>
          <w:spacing w:val="9"/>
          <w:sz w:val="44"/>
          <w:szCs w:val="44"/>
        </w:rPr>
      </w:pPr>
    </w:p>
    <w:p w14:paraId="71BCF973">
      <w:pPr>
        <w:pStyle w:val="16"/>
        <w:bidi w:val="0"/>
        <w:jc w:val="center"/>
        <w:rPr>
          <w:rFonts w:hint="eastAsia" w:ascii="方正小标宋简体" w:hAnsi="方正小标宋简体" w:eastAsia="方正小标宋简体" w:cs="方正小标宋简体"/>
          <w:spacing w:val="9"/>
          <w:sz w:val="44"/>
          <w:szCs w:val="44"/>
        </w:rPr>
      </w:pPr>
    </w:p>
    <w:p w14:paraId="16F3A17E">
      <w:pPr>
        <w:pStyle w:val="16"/>
        <w:bidi w:val="0"/>
        <w:jc w:val="center"/>
        <w:rPr>
          <w:rFonts w:hint="eastAsia" w:ascii="方正小标宋简体" w:hAnsi="方正小标宋简体" w:eastAsia="方正小标宋简体" w:cs="方正小标宋简体"/>
          <w:spacing w:val="9"/>
          <w:sz w:val="44"/>
          <w:szCs w:val="44"/>
        </w:rPr>
      </w:pPr>
    </w:p>
    <w:p w14:paraId="4343A9E3">
      <w:pPr>
        <w:pStyle w:val="16"/>
        <w:bidi w:val="0"/>
        <w:jc w:val="center"/>
        <w:rPr>
          <w:rFonts w:hint="eastAsia" w:ascii="方正小标宋简体" w:hAnsi="方正小标宋简体" w:eastAsia="方正小标宋简体" w:cs="方正小标宋简体"/>
          <w:spacing w:val="9"/>
          <w:sz w:val="44"/>
          <w:szCs w:val="44"/>
        </w:rPr>
      </w:pPr>
    </w:p>
    <w:p w14:paraId="79252E62">
      <w:pPr>
        <w:kinsoku w:val="0"/>
        <w:autoSpaceDE w:val="0"/>
        <w:autoSpaceDN w:val="0"/>
        <w:adjustRightInd w:val="0"/>
        <w:snapToGrid w:val="0"/>
        <w:spacing w:before="261" w:line="215" w:lineRule="auto"/>
        <w:jc w:val="center"/>
        <w:textAlignment w:val="baseline"/>
        <w:rPr>
          <w:rFonts w:hint="eastAsia" w:ascii="楷体" w:hAnsi="楷体" w:eastAsia="楷体" w:cs="楷体"/>
          <w:snapToGrid w:val="0"/>
          <w:color w:val="000000"/>
          <w:spacing w:val="6"/>
          <w:sz w:val="31"/>
          <w:szCs w:val="31"/>
          <w:lang w:val="en-US" w:eastAsia="zh-CN" w:bidi="ar-SA"/>
        </w:rPr>
      </w:pPr>
      <w:r>
        <w:rPr>
          <w:rFonts w:hint="eastAsia" w:ascii="楷体" w:hAnsi="楷体" w:eastAsia="楷体" w:cs="楷体"/>
          <w:snapToGrid w:val="0"/>
          <w:color w:val="000000"/>
          <w:spacing w:val="6"/>
          <w:sz w:val="31"/>
          <w:szCs w:val="31"/>
          <w:lang w:val="en-US" w:eastAsia="zh-CN" w:bidi="ar-SA"/>
        </w:rPr>
        <w:t>宁波市监理工程技术人员职业技能竞赛组委会</w:t>
      </w:r>
    </w:p>
    <w:p w14:paraId="3B8DD366">
      <w:pPr>
        <w:kinsoku w:val="0"/>
        <w:autoSpaceDE w:val="0"/>
        <w:autoSpaceDN w:val="0"/>
        <w:adjustRightInd w:val="0"/>
        <w:snapToGrid w:val="0"/>
        <w:spacing w:before="261" w:after="0" w:line="215" w:lineRule="auto"/>
        <w:jc w:val="center"/>
        <w:textAlignment w:val="baseline"/>
        <w:rPr>
          <w:rFonts w:hint="eastAsia" w:ascii="楷体" w:hAnsi="楷体" w:eastAsia="楷体" w:cs="楷体"/>
          <w:snapToGrid w:val="0"/>
          <w:color w:val="000000"/>
          <w:spacing w:val="6"/>
          <w:sz w:val="31"/>
          <w:szCs w:val="31"/>
          <w:lang w:val="en-US" w:eastAsia="zh-CN" w:bidi="ar-SA"/>
        </w:rPr>
        <w:sectPr>
          <w:pgSz w:w="11906" w:h="16838"/>
          <w:pgMar w:top="1440" w:right="1440" w:bottom="1440" w:left="1440" w:header="708" w:footer="708" w:gutter="0"/>
          <w:cols w:space="720" w:num="1"/>
          <w:docGrid w:linePitch="360" w:charSpace="0"/>
        </w:sectPr>
      </w:pPr>
      <w:r>
        <w:rPr>
          <w:rFonts w:hint="eastAsia" w:ascii="楷体" w:hAnsi="楷体" w:eastAsia="楷体" w:cs="楷体"/>
          <w:snapToGrid w:val="0"/>
          <w:color w:val="000000"/>
          <w:spacing w:val="6"/>
          <w:sz w:val="31"/>
          <w:szCs w:val="31"/>
          <w:lang w:val="en-US" w:eastAsia="zh-CN" w:bidi="ar-SA"/>
        </w:rPr>
        <w:t>2025年9月</w:t>
      </w:r>
    </w:p>
    <w:sdt>
      <w:sdtPr>
        <w:rPr>
          <w:rFonts w:ascii="宋体" w:hAnsi="宋体" w:eastAsia="宋体" w:cstheme="minorBidi"/>
          <w:sz w:val="21"/>
          <w:szCs w:val="22"/>
        </w:rPr>
        <w:id w:val="147459564"/>
        <w15:color w:val="DBDBDB"/>
        <w:docPartObj>
          <w:docPartGallery w:val="Table of Contents"/>
          <w:docPartUnique/>
        </w:docPartObj>
      </w:sdtPr>
      <w:sdtEndPr>
        <w:rPr>
          <w:rFonts w:hint="eastAsia" w:ascii="仿宋_GB2312" w:hAnsi="Times New Roman" w:eastAsia="仿宋_GB2312" w:cs="仿宋_GB2312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sdtEndPr>
      <w:sdtContent>
        <w:p w14:paraId="576B7158">
          <w:pPr>
            <w:spacing w:before="0" w:beforeLines="0" w:after="0" w:afterLines="0" w:line="240" w:lineRule="auto"/>
            <w:ind w:left="0" w:leftChars="0" w:right="0" w:rightChars="0" w:firstLine="0" w:firstLineChars="0"/>
            <w:jc w:val="center"/>
            <w:rPr>
              <w:rFonts w:ascii="宋体" w:hAnsi="宋体" w:eastAsia="宋体" w:cstheme="minorBidi"/>
              <w:sz w:val="21"/>
              <w:szCs w:val="22"/>
            </w:rPr>
          </w:pPr>
        </w:p>
        <w:p w14:paraId="792AF8E4">
          <w:pPr>
            <w:spacing w:before="0" w:beforeLines="0" w:after="0" w:afterLines="0" w:line="240" w:lineRule="auto"/>
            <w:ind w:left="0" w:leftChars="0" w:right="0" w:rightChars="0" w:firstLine="0" w:firstLineChars="0"/>
            <w:jc w:val="center"/>
            <w:rPr>
              <w:rFonts w:ascii="宋体" w:hAnsi="宋体" w:eastAsia="宋体"/>
              <w:b/>
              <w:bCs/>
              <w:sz w:val="36"/>
              <w:szCs w:val="36"/>
            </w:rPr>
          </w:pPr>
        </w:p>
        <w:p w14:paraId="007C903A">
          <w:pPr>
            <w:spacing w:before="0" w:beforeLines="0" w:after="0" w:afterLines="0" w:line="240" w:lineRule="auto"/>
            <w:ind w:left="0" w:leftChars="0" w:right="0" w:rightChars="0" w:firstLine="0" w:firstLineChars="0"/>
            <w:jc w:val="center"/>
            <w:rPr>
              <w:rFonts w:ascii="宋体" w:hAnsi="宋体" w:eastAsia="宋体"/>
              <w:b/>
              <w:bCs/>
              <w:sz w:val="36"/>
              <w:szCs w:val="36"/>
            </w:rPr>
          </w:pPr>
          <w:r>
            <w:rPr>
              <w:rFonts w:ascii="宋体" w:hAnsi="宋体" w:eastAsia="宋体"/>
              <w:b/>
              <w:bCs/>
              <w:sz w:val="36"/>
              <w:szCs w:val="36"/>
            </w:rPr>
            <w:t>目</w:t>
          </w:r>
          <w:r>
            <w:rPr>
              <w:rFonts w:hint="eastAsia" w:ascii="宋体" w:hAnsi="宋体" w:eastAsia="宋体"/>
              <w:b/>
              <w:bCs/>
              <w:sz w:val="36"/>
              <w:szCs w:val="36"/>
              <w:lang w:val="en-US" w:eastAsia="zh-CN"/>
            </w:rPr>
            <w:t xml:space="preserve"> </w:t>
          </w:r>
          <w:r>
            <w:rPr>
              <w:rFonts w:ascii="宋体" w:hAnsi="宋体" w:eastAsia="宋体"/>
              <w:b/>
              <w:bCs/>
              <w:sz w:val="36"/>
              <w:szCs w:val="36"/>
            </w:rPr>
            <w:t>录</w:t>
          </w:r>
        </w:p>
        <w:p w14:paraId="54DA9F0D">
          <w:pPr>
            <w:spacing w:before="0" w:beforeLines="0" w:after="0" w:afterLines="0" w:line="240" w:lineRule="auto"/>
            <w:ind w:left="0" w:leftChars="0" w:right="0" w:rightChars="0" w:firstLine="0" w:firstLineChars="0"/>
            <w:jc w:val="both"/>
            <w:rPr>
              <w:rFonts w:ascii="宋体" w:hAnsi="宋体" w:eastAsia="宋体"/>
              <w:b/>
              <w:bCs/>
              <w:sz w:val="36"/>
              <w:szCs w:val="36"/>
            </w:rPr>
          </w:pPr>
        </w:p>
        <w:p w14:paraId="201B5F99">
          <w:pPr>
            <w:pStyle w:val="13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4"/>
              <w:szCs w:val="24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4"/>
              <w:szCs w:val="24"/>
              <w:lang w:val="en-US" w:eastAsia="zh-CN"/>
              <w14:textFill>
                <w14:solidFill>
                  <w14:schemeClr w14:val="tx1"/>
                </w14:solidFill>
              </w14:textFill>
            </w:rPr>
            <w:instrText xml:space="preserve">TOC \o "1-3" \h \u </w:instrText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4"/>
              <w:szCs w:val="24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_Toc10132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val="en-US" w:eastAsia="zh-CN"/>
            </w:rPr>
            <w:t>一、通用规则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_Toc10132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2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563D41A5">
          <w:pPr>
            <w:pStyle w:val="13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_Toc4097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val="en-US" w:eastAsia="zh-CN"/>
            </w:rPr>
            <w:t>二、专项规则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_Toc4097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3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4E021D03">
          <w:pPr>
            <w:pStyle w:val="15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_Toc23770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eastAsia="zh-CN"/>
            </w:rPr>
            <w:t>（</w:t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val="en-US" w:eastAsia="zh-CN"/>
            </w:rPr>
            <w:t>一</w:t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eastAsia="zh-CN"/>
            </w:rPr>
            <w:t>）</w:t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</w:rPr>
            <w:t>综合理论测评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_Toc23770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3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451388C1">
          <w:pPr>
            <w:pStyle w:val="10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_Toc1506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val="en-US" w:eastAsia="zh-CN"/>
            </w:rPr>
            <w:t>1.测评</w:t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</w:rPr>
            <w:t>范围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_Toc1506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3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4EA6FF4B">
          <w:pPr>
            <w:pStyle w:val="10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_Toc13895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val="en-US" w:eastAsia="zh-CN"/>
            </w:rPr>
            <w:t>2.测评</w:t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</w:rPr>
            <w:t>方式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_Toc13895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3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3FE0F8DC">
          <w:pPr>
            <w:pStyle w:val="10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_Toc21519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val="en-US" w:eastAsia="zh-CN"/>
            </w:rPr>
            <w:t>3.测评</w:t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</w:rPr>
            <w:t>规则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_Toc21519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3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7A0C972B">
          <w:pPr>
            <w:pStyle w:val="15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_Toc6530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val="en-US" w:eastAsia="zh-CN"/>
            </w:rPr>
            <w:t>（二）</w:t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</w:rPr>
            <w:t>监理资料编制</w:t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eastAsia="zh-CN"/>
            </w:rPr>
            <w:t>陈述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_Toc6530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3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22805AF9">
          <w:pPr>
            <w:pStyle w:val="10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_Toc10681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val="en-US" w:eastAsia="zh-CN"/>
            </w:rPr>
            <w:t>1.技术标准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_Toc10681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4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60FBF83E">
          <w:pPr>
            <w:pStyle w:val="10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_Toc24721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val="en-US" w:eastAsia="zh-CN"/>
            </w:rPr>
            <w:t>2.</w:t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</w:rPr>
            <w:t>竞赛仪器设备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_Toc24721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4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1F1425DB">
          <w:pPr>
            <w:pStyle w:val="10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_Toc10752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val="en-US" w:eastAsia="zh-CN"/>
            </w:rPr>
            <w:t>3.</w:t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</w:rPr>
            <w:t>竞赛内容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_Toc10752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4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79BF0852">
          <w:pPr>
            <w:pStyle w:val="10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_Toc22147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val="en-US" w:eastAsia="zh-CN"/>
            </w:rPr>
            <w:t>4.</w:t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</w:rPr>
            <w:t>竞赛规则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_Toc22147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4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1C2E1D76">
          <w:pPr>
            <w:pStyle w:val="10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_Toc32373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val="en-US" w:eastAsia="zh-CN"/>
            </w:rPr>
            <w:t>5.监理资料</w:t>
          </w:r>
          <w:r>
            <w:rPr>
              <w:rFonts w:hint="eastAsia" w:ascii="仿宋_GB2312" w:hAnsi="Times New Roman" w:eastAsia="仿宋_GB2312" w:cs="仿宋_GB2312"/>
              <w:bCs/>
              <w:kern w:val="0"/>
              <w:sz w:val="28"/>
              <w:szCs w:val="28"/>
              <w:lang w:val="en-US" w:eastAsia="zh-CN"/>
            </w:rPr>
            <w:t>编制陈述评分规则及评分表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_Toc32373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7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6268335C">
          <w:pPr>
            <w:pStyle w:val="15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_Toc26204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 w:val="0"/>
              <w:sz w:val="28"/>
              <w:szCs w:val="28"/>
              <w:lang w:val="en-US" w:eastAsia="zh-CN"/>
            </w:rPr>
            <w:t>（三）</w:t>
          </w:r>
          <w:r>
            <w:rPr>
              <w:rFonts w:hint="eastAsia" w:ascii="仿宋_GB2312" w:hAnsi="Times New Roman" w:eastAsia="仿宋_GB2312" w:cs="仿宋_GB2312"/>
              <w:bCs w:val="0"/>
              <w:sz w:val="28"/>
              <w:szCs w:val="28"/>
            </w:rPr>
            <w:t>现场答辩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_Toc26204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8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3B9696D6">
          <w:pPr>
            <w:pStyle w:val="10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_Toc5860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 w:val="0"/>
              <w:sz w:val="28"/>
              <w:szCs w:val="28"/>
              <w:lang w:val="en-US" w:eastAsia="zh-CN"/>
            </w:rPr>
            <w:t>1.</w:t>
          </w:r>
          <w:r>
            <w:rPr>
              <w:rFonts w:hint="eastAsia" w:ascii="仿宋_GB2312" w:hAnsi="Times New Roman" w:eastAsia="仿宋_GB2312" w:cs="仿宋_GB2312"/>
              <w:bCs w:val="0"/>
              <w:sz w:val="28"/>
              <w:szCs w:val="28"/>
            </w:rPr>
            <w:t>技术标准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_Toc5860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8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280234EC">
          <w:pPr>
            <w:pStyle w:val="10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_Toc30274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 w:val="0"/>
              <w:sz w:val="28"/>
              <w:szCs w:val="28"/>
              <w:lang w:val="en-US" w:eastAsia="zh-CN"/>
            </w:rPr>
            <w:t>2.</w:t>
          </w:r>
          <w:r>
            <w:rPr>
              <w:rFonts w:hint="eastAsia" w:ascii="仿宋_GB2312" w:hAnsi="Times New Roman" w:eastAsia="仿宋_GB2312" w:cs="仿宋_GB2312"/>
              <w:bCs w:val="0"/>
              <w:sz w:val="28"/>
              <w:szCs w:val="28"/>
            </w:rPr>
            <w:t>竞赛仪器设备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_Toc30274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8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54FE9465">
          <w:pPr>
            <w:pStyle w:val="10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_Toc18492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 w:val="0"/>
              <w:sz w:val="28"/>
              <w:szCs w:val="28"/>
              <w:lang w:val="en-US" w:eastAsia="zh-CN"/>
            </w:rPr>
            <w:t>3.</w:t>
          </w:r>
          <w:r>
            <w:rPr>
              <w:rFonts w:hint="eastAsia" w:ascii="仿宋_GB2312" w:hAnsi="Times New Roman" w:eastAsia="仿宋_GB2312" w:cs="仿宋_GB2312"/>
              <w:bCs w:val="0"/>
              <w:sz w:val="28"/>
              <w:szCs w:val="28"/>
            </w:rPr>
            <w:t>竞赛内容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_Toc18492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8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3A1E777A">
          <w:pPr>
            <w:pStyle w:val="10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_Toc19397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 w:val="0"/>
              <w:sz w:val="28"/>
              <w:szCs w:val="28"/>
              <w:lang w:val="en-US" w:eastAsia="zh-CN"/>
            </w:rPr>
            <w:t>4.</w:t>
          </w:r>
          <w:r>
            <w:rPr>
              <w:rFonts w:hint="eastAsia" w:ascii="仿宋_GB2312" w:hAnsi="Times New Roman" w:eastAsia="仿宋_GB2312" w:cs="仿宋_GB2312"/>
              <w:bCs w:val="0"/>
              <w:sz w:val="28"/>
              <w:szCs w:val="28"/>
            </w:rPr>
            <w:t>竞赛规则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_Toc19397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9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48199AAE">
          <w:pPr>
            <w:pStyle w:val="10"/>
            <w:tabs>
              <w:tab w:val="right" w:leader="dot" w:pos="9026"/>
            </w:tabs>
            <w:spacing w:line="520" w:lineRule="exact"/>
            <w:rPr>
              <w:sz w:val="28"/>
              <w:szCs w:val="28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_Toc21549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val="en-US" w:eastAsia="zh-CN"/>
            </w:rPr>
            <w:t>5.现场答辩评分规则及评分表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_Toc21549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11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63DF35EF">
          <w:pPr>
            <w:pStyle w:val="13"/>
            <w:tabs>
              <w:tab w:val="right" w:leader="dot" w:pos="9026"/>
            </w:tabs>
            <w:spacing w:line="520" w:lineRule="exact"/>
            <w:rPr>
              <w:sz w:val="24"/>
              <w:szCs w:val="24"/>
            </w:r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begin"/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instrText xml:space="preserve"> HYPERLINK \l _Toc26892 </w:instrText>
          </w:r>
          <w:r>
            <w:rPr>
              <w:rFonts w:hint="eastAsia" w:ascii="仿宋_GB2312" w:hAnsi="Times New Roman" w:eastAsia="仿宋_GB2312" w:cs="仿宋_GB2312"/>
              <w:sz w:val="28"/>
              <w:szCs w:val="28"/>
              <w:lang w:val="en-US" w:eastAsia="zh-CN"/>
            </w:rPr>
            <w:fldChar w:fldCharType="separate"/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val="en-US" w:eastAsia="zh-CN"/>
            </w:rPr>
            <w:t>三</w:t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</w:rPr>
            <w:t>、</w:t>
          </w:r>
          <w:r>
            <w:rPr>
              <w:rFonts w:hint="eastAsia" w:ascii="仿宋_GB2312" w:hAnsi="Times New Roman" w:eastAsia="仿宋_GB2312" w:cs="仿宋_GB2312"/>
              <w:bCs/>
              <w:sz w:val="28"/>
              <w:szCs w:val="28"/>
              <w:lang w:val="en-US" w:eastAsia="zh-CN"/>
            </w:rPr>
            <w:t>注意事项</w:t>
          </w:r>
          <w:r>
            <w:rPr>
              <w:sz w:val="28"/>
              <w:szCs w:val="28"/>
            </w:rPr>
            <w:tab/>
          </w:r>
          <w:r>
            <w:rPr>
              <w:sz w:val="28"/>
              <w:szCs w:val="28"/>
            </w:rPr>
            <w:fldChar w:fldCharType="begin"/>
          </w:r>
          <w:r>
            <w:rPr>
              <w:sz w:val="28"/>
              <w:szCs w:val="28"/>
            </w:rPr>
            <w:instrText xml:space="preserve"> PAGEREF _Toc26892 \h </w:instrText>
          </w:r>
          <w:r>
            <w:rPr>
              <w:sz w:val="28"/>
              <w:szCs w:val="28"/>
            </w:rPr>
            <w:fldChar w:fldCharType="separate"/>
          </w:r>
          <w:r>
            <w:rPr>
              <w:sz w:val="28"/>
              <w:szCs w:val="28"/>
            </w:rPr>
            <w:t>12</w:t>
          </w:r>
          <w:r>
            <w:rPr>
              <w:sz w:val="28"/>
              <w:szCs w:val="28"/>
            </w:rPr>
            <w:fldChar w:fldCharType="end"/>
          </w:r>
          <w:r>
            <w:rPr>
              <w:rFonts w:hint="eastAsia" w:ascii="仿宋_GB2312" w:hAnsi="Times New Roman" w:eastAsia="仿宋_GB2312" w:cs="仿宋_GB2312"/>
              <w:color w:val="000000" w:themeColor="text1"/>
              <w:sz w:val="28"/>
              <w:szCs w:val="28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  <w:p w14:paraId="383B5DED">
          <w:pPr>
            <w:spacing w:line="520" w:lineRule="exact"/>
            <w:ind w:firstLine="0" w:firstLineChars="0"/>
            <w:rPr>
              <w:rFonts w:hint="eastAsia" w:ascii="仿宋_GB2312" w:hAnsi="Times New Roman" w:eastAsia="仿宋_GB2312" w:cs="仿宋_GB2312"/>
              <w:color w:val="000000" w:themeColor="text1"/>
              <w:sz w:val="24"/>
              <w:szCs w:val="24"/>
              <w:lang w:val="en-US" w:eastAsia="zh-CN"/>
              <w14:textFill>
                <w14:solidFill>
                  <w14:schemeClr w14:val="tx1"/>
                </w14:solidFill>
              </w14:textFill>
            </w:rPr>
            <w:sectPr>
              <w:footerReference r:id="rId3" w:type="default"/>
              <w:pgSz w:w="11906" w:h="16838"/>
              <w:pgMar w:top="1440" w:right="1440" w:bottom="1440" w:left="1440" w:header="708" w:footer="708" w:gutter="0"/>
              <w:pgNumType w:fmt="decimal" w:start="1"/>
              <w:cols w:space="720" w:num="1"/>
              <w:docGrid w:linePitch="360" w:charSpace="0"/>
            </w:sectPr>
          </w:pPr>
          <w:r>
            <w:rPr>
              <w:rFonts w:hint="eastAsia" w:ascii="仿宋_GB2312" w:hAnsi="Times New Roman" w:eastAsia="仿宋_GB2312" w:cs="仿宋_GB2312"/>
              <w:color w:val="000000" w:themeColor="text1"/>
              <w:sz w:val="24"/>
              <w:szCs w:val="24"/>
              <w:lang w:val="en-US" w:eastAsia="zh-CN"/>
              <w14:textFill>
                <w14:solidFill>
                  <w14:schemeClr w14:val="tx1"/>
                </w14:solidFill>
              </w14:textFill>
            </w:rPr>
            <w:fldChar w:fldCharType="end"/>
          </w:r>
        </w:p>
      </w:sdtContent>
    </w:sdt>
    <w:p w14:paraId="110AD6EB">
      <w:pPr>
        <w:spacing w:before="361" w:beforeLines="100" w:after="361" w:afterLines="100" w:line="600" w:lineRule="exact"/>
        <w:ind w:firstLine="0" w:firstLineChars="0"/>
        <w:jc w:val="center"/>
        <w:outlineLvl w:val="0"/>
        <w:rPr>
          <w:rFonts w:hint="eastAsia" w:ascii="仿宋_GB2312" w:hAnsi="Times New Roman" w:eastAsia="仿宋_GB2312" w:cs="仿宋_GB2312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Toc4213"/>
      <w:bookmarkStart w:id="1" w:name="_Toc10132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一、通用规则</w:t>
      </w:r>
      <w:bookmarkEnd w:id="0"/>
      <w:bookmarkEnd w:id="1"/>
    </w:p>
    <w:p w14:paraId="417697F7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（一）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为整体评价</w:t>
      </w:r>
      <w:r>
        <w:rPr>
          <w:rFonts w:hint="eastAsia" w:ascii="仿宋_GB2312" w:hAnsi="Times New Roman" w:eastAsia="仿宋_GB2312" w:cs="仿宋_GB2312"/>
          <w:snapToGrid/>
          <w:color w:val="000000" w:themeColor="text1"/>
          <w:spacing w:val="0"/>
          <w:sz w:val="28"/>
          <w:szCs w:val="28"/>
          <w:lang w:val="en-US" w:eastAsia="zh-CN" w:bidi="ar-SA"/>
          <w14:textFill>
            <w14:solidFill>
              <w14:schemeClr w14:val="tx1"/>
            </w14:solidFill>
          </w14:textFill>
        </w:rPr>
        <w:t>监理工程技术人员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在监理理论知识和实际操作技能方面的综合能力，本次竞赛设综合理论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及技能实操两个项目，其中技能实操项目包含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监理资料编制陈述、现场答辩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两个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赛项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参赛选手均需参加。</w:t>
      </w:r>
    </w:p>
    <w:p w14:paraId="73BB713D">
      <w:pPr>
        <w:spacing w:line="600" w:lineRule="exact"/>
        <w:ind w:firstLine="560" w:firstLineChars="200"/>
        <w:rPr>
          <w:rFonts w:hint="eastAsia" w:ascii="宋体" w:hAnsi="宋体" w:eastAsia="宋体" w:cs="宋体"/>
          <w:spacing w:val="6"/>
          <w:position w:val="1"/>
          <w:sz w:val="21"/>
          <w:szCs w:val="21"/>
          <w:lang w:val="en-US" w:eastAsia="zh-CN"/>
        </w:rPr>
      </w:pPr>
      <w:r>
        <w:rPr>
          <w:rFonts w:hint="eastAsia" w:ascii="仿宋_GB2312" w:hAnsi="Times New Roman" w:eastAsia="仿宋_GB2312" w:cs="仿宋_GB2312"/>
          <w:color w:val="000000" w:themeColor="text1"/>
          <w:spacing w:val="0"/>
          <w:positio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（二）综合理论、技能实操所有赛项均实行百分制。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竞赛组委会工作人员对参赛选手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各赛项成绩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进行统计、整理，计算参赛选手的综合成绩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其中</w:t>
      </w:r>
      <w:r>
        <w:rPr>
          <w:rFonts w:hint="eastAsia" w:ascii="仿宋_GB2312" w:hAnsi="Times New Roman" w:eastAsia="仿宋_GB2312" w:cs="仿宋_GB2312"/>
          <w:color w:val="000000" w:themeColor="text1"/>
          <w:spacing w:val="0"/>
          <w:positio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综合理论成绩占30%，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监理资料编制陈述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占40%，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现场答辩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占30%。</w:t>
      </w:r>
    </w:p>
    <w:p w14:paraId="5037B025">
      <w:pPr>
        <w:spacing w:line="600" w:lineRule="exact"/>
        <w:ind w:firstLine="560" w:firstLineChars="200"/>
        <w:rPr>
          <w:rFonts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）竞赛组委会工作人员根据参赛选手的综合成绩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决定名次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，排序规则如下：</w:t>
      </w:r>
    </w:p>
    <w:p w14:paraId="1EDC5144">
      <w:pPr>
        <w:spacing w:line="600" w:lineRule="exact"/>
        <w:ind w:firstLine="560" w:firstLineChars="200"/>
        <w:rPr>
          <w:rFonts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1.按综合成绩的得分高低排序；</w:t>
      </w:r>
    </w:p>
    <w:p w14:paraId="69AC9197">
      <w:pPr>
        <w:spacing w:line="600" w:lineRule="exact"/>
        <w:ind w:firstLine="560" w:firstLineChars="200"/>
        <w:rPr>
          <w:rFonts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若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综合成绩相同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则以现场答辩成绩高低决定比赛名次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；</w:t>
      </w:r>
    </w:p>
    <w:p w14:paraId="648467AD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若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现场答辩成绩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再相同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则以</w:t>
      </w:r>
      <w:r>
        <w:rPr>
          <w:rFonts w:hint="eastAsia" w:eastAsia="仿宋"/>
          <w:b w:val="0"/>
          <w:bCs w:val="0"/>
          <w:sz w:val="28"/>
          <w:szCs w:val="28"/>
          <w:lang w:val="en-US" w:eastAsia="zh-CN"/>
        </w:rPr>
        <w:t>监理资料</w:t>
      </w:r>
      <w:r>
        <w:rPr>
          <w:rFonts w:hint="eastAsia" w:eastAsia="仿宋"/>
          <w:b w:val="0"/>
          <w:bCs w:val="0"/>
          <w:kern w:val="0"/>
          <w:sz w:val="28"/>
          <w:szCs w:val="28"/>
          <w:lang w:val="en-US" w:eastAsia="zh-CN"/>
        </w:rPr>
        <w:t>编制陈述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成绩高低决定比赛名次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；</w:t>
      </w:r>
    </w:p>
    <w:p w14:paraId="0C429323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若</w:t>
      </w:r>
      <w:r>
        <w:rPr>
          <w:rFonts w:hint="eastAsia" w:eastAsia="仿宋"/>
          <w:b w:val="0"/>
          <w:bCs w:val="0"/>
          <w:sz w:val="28"/>
          <w:szCs w:val="28"/>
          <w:lang w:val="en-US" w:eastAsia="zh-CN"/>
        </w:rPr>
        <w:t>监理资料</w:t>
      </w:r>
      <w:r>
        <w:rPr>
          <w:rFonts w:hint="eastAsia" w:eastAsia="仿宋"/>
          <w:b w:val="0"/>
          <w:bCs w:val="0"/>
          <w:kern w:val="0"/>
          <w:sz w:val="28"/>
          <w:szCs w:val="28"/>
          <w:lang w:val="en-US" w:eastAsia="zh-CN"/>
        </w:rPr>
        <w:t>编制陈述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成绩再相同，以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综合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理论用时较少者名次排前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；</w:t>
      </w:r>
    </w:p>
    <w:p w14:paraId="2C3349C5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5.若综合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理论用时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再相同，将加试决出名次。</w:t>
      </w:r>
    </w:p>
    <w:p w14:paraId="59AAA9B9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）参赛团体排名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规则</w:t>
      </w:r>
    </w:p>
    <w:p w14:paraId="380AE280">
      <w:pPr>
        <w:pStyle w:val="2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560" w:firstLineChars="200"/>
        <w:jc w:val="left"/>
        <w:textAlignment w:val="auto"/>
        <w:rPr>
          <w:rFonts w:hint="default" w:ascii="仿宋" w:eastAsia="仿宋"/>
          <w:color w:val="auto"/>
          <w:sz w:val="24"/>
          <w:lang w:val="en-US" w:eastAsia="zh-CN"/>
        </w:rPr>
      </w:pPr>
      <w:r>
        <w:rPr>
          <w:rFonts w:ascii="仿宋_GB2312" w:hAnsi="Times New Roman" w:eastAsia="仿宋_GB2312" w:cs="仿宋_GB2312"/>
          <w:color w:val="auto"/>
          <w:sz w:val="28"/>
          <w:szCs w:val="28"/>
        </w:rPr>
        <w:t>以</w:t>
      </w:r>
      <w:r>
        <w:rPr>
          <w:rFonts w:hint="eastAsia" w:ascii="仿宋_GB2312" w:hAnsi="Times New Roman" w:eastAsia="仿宋_GB2312" w:cs="仿宋_GB2312"/>
          <w:color w:val="auto"/>
          <w:sz w:val="28"/>
          <w:szCs w:val="28"/>
        </w:rPr>
        <w:t>参赛企业为</w:t>
      </w:r>
      <w:r>
        <w:rPr>
          <w:rFonts w:ascii="仿宋_GB2312" w:hAnsi="Times New Roman" w:eastAsia="仿宋_GB2312" w:cs="仿宋_GB2312"/>
          <w:color w:val="auto"/>
          <w:sz w:val="28"/>
          <w:szCs w:val="28"/>
        </w:rPr>
        <w:t>单位，由</w:t>
      </w:r>
      <w:r>
        <w:rPr>
          <w:rFonts w:hint="eastAsia" w:ascii="仿宋_GB2312" w:hAnsi="Times New Roman" w:eastAsia="仿宋_GB2312" w:cs="仿宋_GB2312"/>
          <w:color w:val="auto"/>
          <w:sz w:val="28"/>
          <w:szCs w:val="28"/>
        </w:rPr>
        <w:t>企业派出的所有参赛选手</w:t>
      </w:r>
      <w:r>
        <w:rPr>
          <w:rFonts w:hint="eastAsia" w:ascii="仿宋_GB2312" w:hAnsi="Times New Roman" w:eastAsia="仿宋_GB2312" w:cs="仿宋_GB2312"/>
          <w:color w:val="auto"/>
          <w:sz w:val="28"/>
          <w:szCs w:val="28"/>
          <w:lang w:val="en-US" w:eastAsia="zh-CN"/>
        </w:rPr>
        <w:t>中成绩最好的三位选手的</w:t>
      </w:r>
      <w:r>
        <w:rPr>
          <w:rFonts w:hint="eastAsia" w:ascii="仿宋_GB2312" w:hAnsi="Times New Roman" w:eastAsia="仿宋_GB2312" w:cs="仿宋_GB2312"/>
          <w:color w:val="auto"/>
          <w:sz w:val="28"/>
          <w:szCs w:val="28"/>
        </w:rPr>
        <w:t>竞赛</w:t>
      </w:r>
      <w:r>
        <w:rPr>
          <w:rFonts w:hint="eastAsia" w:ascii="仿宋_GB2312" w:hAnsi="Times New Roman" w:eastAsia="仿宋_GB2312" w:cs="仿宋_GB2312"/>
          <w:color w:val="auto"/>
          <w:sz w:val="28"/>
          <w:szCs w:val="28"/>
          <w:lang w:val="en-US" w:eastAsia="zh-CN"/>
        </w:rPr>
        <w:t>成绩</w:t>
      </w:r>
      <w:r>
        <w:rPr>
          <w:rFonts w:hint="eastAsia" w:ascii="仿宋_GB2312" w:hAnsi="Times New Roman" w:eastAsia="仿宋_GB2312" w:cs="仿宋_GB2312"/>
          <w:color w:val="auto"/>
          <w:sz w:val="28"/>
          <w:szCs w:val="28"/>
        </w:rPr>
        <w:t>的平均值高低进行排序</w:t>
      </w:r>
      <w:r>
        <w:rPr>
          <w:rFonts w:ascii="仿宋_GB2312" w:hAnsi="Times New Roman" w:eastAsia="仿宋_GB2312" w:cs="仿宋_GB2312"/>
          <w:color w:val="auto"/>
          <w:sz w:val="28"/>
          <w:szCs w:val="28"/>
        </w:rPr>
        <w:t>。</w:t>
      </w:r>
    </w:p>
    <w:p w14:paraId="79D86C87">
      <w:pPr>
        <w:spacing w:line="540" w:lineRule="exact"/>
        <w:ind w:firstLine="444" w:firstLineChars="200"/>
        <w:rPr>
          <w:rFonts w:hint="default" w:ascii="宋体" w:hAnsi="宋体" w:eastAsia="宋体" w:cs="宋体"/>
          <w:spacing w:val="6"/>
          <w:position w:val="1"/>
          <w:sz w:val="21"/>
          <w:szCs w:val="21"/>
          <w:lang w:val="en-US" w:eastAsia="zh-CN"/>
        </w:rPr>
      </w:pPr>
    </w:p>
    <w:p w14:paraId="0FD9A0D4">
      <w:pPr>
        <w:spacing w:line="240" w:lineRule="auto"/>
        <w:ind w:firstLine="0" w:firstLineChars="0"/>
        <w:outlineLvl w:val="9"/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bookmarkStart w:id="2" w:name="_Toc27334"/>
      <w:bookmarkStart w:id="3" w:name="_Toc4097"/>
      <w:bookmarkStart w:id="4" w:name="_Toc27776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br w:type="page"/>
      </w:r>
    </w:p>
    <w:p w14:paraId="47F43CAD">
      <w:pPr>
        <w:spacing w:before="361" w:beforeLines="100" w:after="361" w:afterLines="100" w:line="600" w:lineRule="exact"/>
        <w:ind w:firstLine="0" w:firstLineChars="0"/>
        <w:jc w:val="center"/>
        <w:outlineLvl w:val="0"/>
        <w:rPr>
          <w:rFonts w:hint="eastAsia" w:ascii="仿宋_GB2312" w:hAnsi="Times New Roman" w:eastAsia="仿宋_GB2312" w:cs="仿宋_GB2312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二、专项规则</w:t>
      </w:r>
      <w:bookmarkEnd w:id="2"/>
      <w:bookmarkEnd w:id="3"/>
    </w:p>
    <w:p w14:paraId="3788CE9B">
      <w:pPr>
        <w:spacing w:line="600" w:lineRule="exact"/>
        <w:ind w:firstLine="562" w:firstLineChars="200"/>
        <w:outlineLvl w:val="1"/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bookmarkStart w:id="5" w:name="_Toc20050"/>
      <w:bookmarkStart w:id="6" w:name="_Toc23770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一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综合理论测评</w:t>
      </w:r>
      <w:bookmarkEnd w:id="4"/>
      <w:bookmarkEnd w:id="5"/>
      <w:bookmarkEnd w:id="6"/>
    </w:p>
    <w:p w14:paraId="237B2AA8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考评参赛选手对建设工程法律法规、标准规范、工程质量、安全生产、职业道德等方面知识的掌握程度。</w:t>
      </w:r>
    </w:p>
    <w:p w14:paraId="26389A6C">
      <w:pPr>
        <w:spacing w:line="600" w:lineRule="exact"/>
        <w:ind w:firstLine="562" w:firstLineChars="200"/>
        <w:outlineLvl w:val="2"/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bookmarkStart w:id="7" w:name="_Toc18017"/>
      <w:bookmarkStart w:id="8" w:name="_Toc1506"/>
      <w:bookmarkStart w:id="9" w:name="_Toc26149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1.测评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范围</w:t>
      </w:r>
      <w:bookmarkEnd w:id="7"/>
      <w:bookmarkEnd w:id="8"/>
      <w:bookmarkEnd w:id="9"/>
    </w:p>
    <w:p w14:paraId="4528B399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重点为以下六部标准规范</w:t>
      </w:r>
    </w:p>
    <w:p w14:paraId="725AC324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《建筑与市政工程施工质量控制通用规范》GB55032-2022；</w:t>
      </w:r>
    </w:p>
    <w:p w14:paraId="7AC64ECD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《混凝土结构通用规范》GB55008-2021；</w:t>
      </w:r>
    </w:p>
    <w:p w14:paraId="5D0BAF15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《施工脚手架通用规范》GB55023-2022；</w:t>
      </w:r>
    </w:p>
    <w:p w14:paraId="2468DF57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《建筑与市政施工现场安全卫生与职业健康通用规范》GB55034-2022；</w:t>
      </w:r>
    </w:p>
    <w:p w14:paraId="0C7B5B1C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《建筑与市政工程防水通用规范》GB55030-2022；</w:t>
      </w:r>
    </w:p>
    <w:p w14:paraId="1829EE4F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《建筑防火通用规范》GB55037-2022。</w:t>
      </w:r>
    </w:p>
    <w:p w14:paraId="1BA4DBC6">
      <w:pPr>
        <w:spacing w:line="600" w:lineRule="exact"/>
        <w:ind w:firstLine="562" w:firstLineChars="200"/>
        <w:outlineLvl w:val="2"/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bookmarkStart w:id="10" w:name="_Toc13895"/>
      <w:bookmarkStart w:id="11" w:name="_Toc30947"/>
      <w:bookmarkStart w:id="12" w:name="_Toc18806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2.测评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方式</w:t>
      </w:r>
      <w:bookmarkEnd w:id="10"/>
      <w:bookmarkEnd w:id="11"/>
      <w:bookmarkEnd w:id="12"/>
    </w:p>
    <w:p w14:paraId="11ADE292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本次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测评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采用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电脑机考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，总分100分，综合成绩占比30%；</w:t>
      </w:r>
    </w:p>
    <w:p w14:paraId="23F6A3D1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题型分布：客观题（单选题、多选题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判断题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；</w:t>
      </w:r>
    </w:p>
    <w:p w14:paraId="276FF4E8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（3）测评时长：60分钟。</w:t>
      </w:r>
    </w:p>
    <w:p w14:paraId="4326E7C7">
      <w:pPr>
        <w:spacing w:line="600" w:lineRule="exact"/>
        <w:ind w:firstLine="562" w:firstLineChars="200"/>
        <w:outlineLvl w:val="2"/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bookmarkStart w:id="13" w:name="_Toc21519"/>
      <w:bookmarkStart w:id="14" w:name="_Toc18588"/>
      <w:bookmarkStart w:id="15" w:name="_Toc2193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3.测评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规则</w:t>
      </w:r>
      <w:bookmarkEnd w:id="13"/>
      <w:bookmarkEnd w:id="14"/>
      <w:bookmarkEnd w:id="15"/>
    </w:p>
    <w:p w14:paraId="22B8FEB4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参赛选手应按各自的竞赛序号进入考场，对号入座；</w:t>
      </w:r>
    </w:p>
    <w:p w14:paraId="64520894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参赛选手需在试卷规定的位置进行答题，否则答题无效；</w:t>
      </w:r>
    </w:p>
    <w:p w14:paraId="2B194897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参赛选手需在规定的时间内完成试题的作答、交卷，超过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规定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时间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试卷将自动提交，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未参加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测评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的，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综合理论测评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成绩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按0分计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。</w:t>
      </w:r>
    </w:p>
    <w:p w14:paraId="074471D2">
      <w:pPr>
        <w:spacing w:line="600" w:lineRule="exact"/>
        <w:ind w:firstLine="562" w:firstLineChars="200"/>
        <w:outlineLvl w:val="1"/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bookmarkStart w:id="16" w:name="_Toc27815"/>
      <w:bookmarkStart w:id="17" w:name="_Toc5064"/>
      <w:bookmarkStart w:id="18" w:name="_Toc6530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（二）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监理资料编制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陈述</w:t>
      </w:r>
      <w:bookmarkEnd w:id="16"/>
      <w:bookmarkEnd w:id="17"/>
      <w:bookmarkEnd w:id="18"/>
    </w:p>
    <w:p w14:paraId="2C24FAA2">
      <w:pPr>
        <w:spacing w:line="600" w:lineRule="exact"/>
        <w:ind w:firstLine="562" w:firstLineChars="200"/>
        <w:outlineLvl w:val="2"/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bookmarkStart w:id="19" w:name="_Toc10681"/>
      <w:bookmarkStart w:id="20" w:name="_Toc11279"/>
      <w:bookmarkStart w:id="21" w:name="_Toc19834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1.技术标准</w:t>
      </w:r>
      <w:bookmarkEnd w:id="19"/>
      <w:bookmarkEnd w:id="20"/>
      <w:bookmarkEnd w:id="21"/>
    </w:p>
    <w:p w14:paraId="3096BEAF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监理规划、监理实施细则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Times New Roman" w:eastAsia="仿宋_GB2312" w:cs="仿宋_GB2312"/>
          <w:b w:val="0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全过程工程咨询</w:t>
      </w:r>
      <w:r>
        <w:rPr>
          <w:rFonts w:hint="eastAsia" w:ascii="仿宋_GB2312" w:hAnsi="Times New Roman" w:eastAsia="仿宋_GB2312" w:cs="仿宋_GB2312"/>
          <w:b w:val="0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方案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编制相关的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政策文件和规范标准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。</w:t>
      </w:r>
    </w:p>
    <w:p w14:paraId="6C7BDC85">
      <w:pPr>
        <w:spacing w:line="600" w:lineRule="exact"/>
        <w:ind w:firstLine="562" w:firstLineChars="200"/>
        <w:outlineLvl w:val="2"/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bookmarkStart w:id="22" w:name="_Toc12177"/>
      <w:bookmarkStart w:id="23" w:name="_Toc24721"/>
      <w:bookmarkStart w:id="24" w:name="_Toc31660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竞赛仪器设备</w:t>
      </w:r>
      <w:bookmarkEnd w:id="22"/>
      <w:bookmarkEnd w:id="23"/>
      <w:bookmarkEnd w:id="24"/>
    </w:p>
    <w:p w14:paraId="7CF926EF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赛会提供：电脑（预装Office办公软件）、投影仪、投影幕布、PPT翻页激光笔、计时器、麦克风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。</w:t>
      </w:r>
    </w:p>
    <w:p w14:paraId="2B169BFD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参赛选手自备：无（PPT需提前按要求提交至赛会指定邮箱，现场不允许携带个人存储设备）。</w:t>
      </w:r>
    </w:p>
    <w:p w14:paraId="416CB15E">
      <w:pPr>
        <w:spacing w:line="600" w:lineRule="exact"/>
        <w:ind w:firstLine="562" w:firstLineChars="200"/>
        <w:outlineLvl w:val="2"/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bookmarkStart w:id="25" w:name="_Toc29193"/>
      <w:bookmarkStart w:id="26" w:name="_Toc10752"/>
      <w:bookmarkStart w:id="27" w:name="_Toc14391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竞赛内容</w:t>
      </w:r>
      <w:bookmarkEnd w:id="25"/>
      <w:bookmarkEnd w:id="26"/>
      <w:bookmarkEnd w:id="27"/>
    </w:p>
    <w:p w14:paraId="46B5AA9F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（1）每位参赛选手从附件提供的案例中自选1项，编制对应的监理规划、实施细则或</w:t>
      </w:r>
      <w:r>
        <w:rPr>
          <w:rFonts w:hint="eastAsia" w:ascii="仿宋_GB2312" w:hAnsi="Times New Roman" w:eastAsia="仿宋_GB2312" w:cs="仿宋_GB2312"/>
          <w:b w:val="0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全过程工程咨询</w:t>
      </w:r>
      <w:r>
        <w:rPr>
          <w:rFonts w:hint="eastAsia" w:ascii="仿宋_GB2312" w:hAnsi="Times New Roman" w:eastAsia="仿宋_GB2312" w:cs="仿宋_GB2312"/>
          <w:b w:val="0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方案</w:t>
      </w:r>
      <w:r>
        <w:rPr>
          <w:rFonts w:hint="eastAsia" w:ascii="仿宋_GB2312" w:hAnsi="Times New Roman" w:eastAsia="仿宋_GB2312" w:cs="仿宋_GB2312"/>
          <w:b w:val="0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同一参赛队伍选手选取案例不得重复，参赛选手2人（含）以上的参赛队伍须至少编制监理规划及监理实施细则</w:t>
      </w:r>
      <w:r>
        <w:rPr>
          <w:rFonts w:hint="eastAsia" w:ascii="仿宋_GB2312" w:hAnsi="Times New Roman" w:eastAsia="仿宋_GB2312" w:cs="仿宋_GB2312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两类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5F7C331D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参赛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选手将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编制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成果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内容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整理为PPT，通过“现场演讲+PPT演示”形式展示，内容需逻辑清晰、重点突出，结合案例实际体现监理工作专业性。</w:t>
      </w:r>
    </w:p>
    <w:p w14:paraId="4D4C56A1">
      <w:pPr>
        <w:spacing w:line="600" w:lineRule="exact"/>
        <w:ind w:firstLine="560" w:firstLineChars="200"/>
        <w:outlineLvl w:val="9"/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（3）案例类型</w:t>
      </w:r>
    </w:p>
    <w:p w14:paraId="5316ED83">
      <w:pPr>
        <w:spacing w:line="600" w:lineRule="exact"/>
        <w:ind w:firstLine="560" w:firstLineChars="200"/>
        <w:outlineLvl w:val="9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①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监理规划编制：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包括市政公用工程类、房屋建筑工程类、机电安装工程类</w:t>
      </w:r>
    </w:p>
    <w:p w14:paraId="30E06F8F">
      <w:pPr>
        <w:spacing w:line="600" w:lineRule="exact"/>
        <w:ind w:firstLine="560" w:firstLineChars="200"/>
        <w:outlineLvl w:val="9"/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②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监理实施细则编制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：包括质量控制类、安全管理类</w:t>
      </w:r>
    </w:p>
    <w:p w14:paraId="5486C7DD">
      <w:pPr>
        <w:spacing w:line="600" w:lineRule="exact"/>
        <w:ind w:firstLine="560" w:firstLineChars="200"/>
        <w:outlineLvl w:val="9"/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Times New Roman" w:eastAsia="仿宋_GB2312" w:cs="仿宋_GB2312"/>
          <w:b w:val="0"/>
          <w:bCs w:val="0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③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全过程工程咨询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方案</w:t>
      </w:r>
    </w:p>
    <w:p w14:paraId="4ABC8771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b w:val="0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以上案例详见附件</w:t>
      </w:r>
    </w:p>
    <w:p w14:paraId="2F565909">
      <w:pPr>
        <w:spacing w:line="600" w:lineRule="exact"/>
        <w:ind w:firstLine="562" w:firstLineChars="200"/>
        <w:outlineLvl w:val="2"/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bookmarkStart w:id="28" w:name="_Toc29508"/>
      <w:bookmarkStart w:id="29" w:name="_Toc22147"/>
      <w:bookmarkStart w:id="30" w:name="_Toc15413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竞赛规则</w:t>
      </w:r>
      <w:bookmarkEnd w:id="28"/>
      <w:bookmarkEnd w:id="29"/>
      <w:bookmarkEnd w:id="30"/>
    </w:p>
    <w:p w14:paraId="5F170E1D">
      <w:pPr>
        <w:spacing w:line="600" w:lineRule="exact"/>
        <w:ind w:firstLine="562" w:firstLineChars="200"/>
        <w:outlineLvl w:val="3"/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（1）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PPT提交要求</w:t>
      </w:r>
    </w:p>
    <w:p w14:paraId="7DE53D24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赛前（截止时间：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赛前一周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），参赛选手需将PPT发送至赛会指定邮箱（nbjlxh@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163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.com），文件名格式统一为“参赛选手姓名+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单位简称+案例编号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（如‘张三+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宁波XX公司+X号案例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’）”。</w:t>
      </w:r>
    </w:p>
    <w:p w14:paraId="11E16CCD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PPT首页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及内容、图片等不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可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体现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参赛选手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的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姓名、企业名称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及LOGO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；文字字体采用宋体、仿宋体或黑体（标题字号不小于24号，正文字号不小于18号）；文件大小控制在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50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MB以内，禁止插入视频，图片需压缩处理以确保播放流畅。</w:t>
      </w:r>
    </w:p>
    <w:p w14:paraId="1E67CAAC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逾期未提交或PPT格式不符合要求的，视为自动放弃本项竞赛，成绩按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零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分计。</w:t>
      </w:r>
    </w:p>
    <w:p w14:paraId="6B2D21D4">
      <w:pPr>
        <w:spacing w:line="600" w:lineRule="exact"/>
        <w:ind w:firstLine="562" w:firstLineChars="200"/>
        <w:outlineLvl w:val="3"/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（2）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赛前检录与抽签</w:t>
      </w:r>
    </w:p>
    <w:p w14:paraId="66B129CD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竞赛当日，参赛选手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按赛程规定时间，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凭身份证、参赛凭证在检录处检录；未按时检录的，视为放弃竞赛。</w:t>
      </w:r>
    </w:p>
    <w:p w14:paraId="561BB45E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检录后，选手抽取竞赛顺序号，按序号在候赛区等候，未经许可不得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离开候赛区或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进入竞赛场地。</w:t>
      </w:r>
    </w:p>
    <w:p w14:paraId="65343FD8">
      <w:pPr>
        <w:spacing w:line="600" w:lineRule="exact"/>
        <w:ind w:firstLine="562" w:firstLineChars="200"/>
        <w:outlineLvl w:val="3"/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（3）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竞赛流程与计时</w:t>
      </w:r>
    </w:p>
    <w:p w14:paraId="544C820D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赛场分N个赛点同时竞赛，每个赛点配备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N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名裁判；选手按顺序进入赛点，裁判核对身份后发令“开始”，计时同步启动。</w:t>
      </w:r>
    </w:p>
    <w:p w14:paraId="15E4B724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演讲+演示总时长为6分钟，计时到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分钟时，裁判强制终止演讲。</w:t>
      </w:r>
    </w:p>
    <w:p w14:paraId="43329507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演讲结束后，选手需向裁判报告“演示完毕”，计时截止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经裁判同意后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方可离开赛点。</w:t>
      </w:r>
    </w:p>
    <w:p w14:paraId="00373C8B">
      <w:pPr>
        <w:spacing w:line="600" w:lineRule="exact"/>
        <w:ind w:firstLine="562" w:firstLineChars="200"/>
        <w:outlineLvl w:val="3"/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（4）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违规处理</w:t>
      </w:r>
    </w:p>
    <w:p w14:paraId="2C4D2555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①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竞赛过程中，选手不得以任何方式（如口头提及、PPT隐藏标识）向裁判表明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姓名和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企业名称，否则扣10分。</w:t>
      </w:r>
    </w:p>
    <w:p w14:paraId="1775F183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②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进入竞赛场地后，禁止携带手机、U盘等电子设备，违者经裁判确认后，取消本项竞赛资格，成绩按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分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计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。</w:t>
      </w:r>
    </w:p>
    <w:p w14:paraId="242BC5E9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Times New Roman" w:eastAsia="仿宋_GB2312" w:cs="仿宋_GB2312"/>
          <w:b w:val="0"/>
          <w:bCs w:val="0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③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未在候赛区等候、擅自进入竞赛场地的，经裁判确认后，取消本项竞赛资格。</w:t>
      </w:r>
    </w:p>
    <w:p w14:paraId="18791C3F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④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演讲内容与赛前提交的PPT不一致或存在数据弄虚作假（如编造规范条款、伪造检测数据）的，视为成绩无效，按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分计。</w:t>
      </w:r>
    </w:p>
    <w:p w14:paraId="530047CA">
      <w:pPr>
        <w:spacing w:line="600" w:lineRule="exact"/>
        <w:ind w:firstLine="562" w:firstLineChars="200"/>
        <w:outlineLvl w:val="3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（5）评分规则</w:t>
      </w:r>
    </w:p>
    <w:p w14:paraId="00369DEB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sectPr>
          <w:pgSz w:w="11906" w:h="16838"/>
          <w:pgMar w:top="1440" w:right="1440" w:bottom="1440" w:left="1440" w:header="708" w:footer="708" w:gutter="0"/>
          <w:pgNumType w:fmt="decimal"/>
          <w:cols w:space="720" w:num="1"/>
          <w:docGrid w:linePitch="360" w:charSpace="0"/>
        </w:sect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本项竞赛根据参赛选手的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编制内容质量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表达呈现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时间控制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，由裁判按照评分规则打分；满分100分，综合成绩占比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40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%。</w:t>
      </w:r>
    </w:p>
    <w:p w14:paraId="5F8B7C52">
      <w:pPr>
        <w:spacing w:line="560" w:lineRule="exact"/>
        <w:ind w:firstLine="562" w:firstLineChars="200"/>
        <w:outlineLvl w:val="2"/>
        <w:rPr>
          <w:rFonts w:hint="eastAsia" w:ascii="仿宋_GB2312" w:hAnsi="Times New Roman" w:eastAsia="仿宋_GB2312" w:cs="仿宋_GB2312"/>
          <w:b/>
          <w:bCs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bookmarkStart w:id="31" w:name="_Toc5726"/>
      <w:bookmarkStart w:id="32" w:name="_Toc18122"/>
      <w:bookmarkStart w:id="33" w:name="_Toc32373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5.监理资料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编制陈述评分规则及评分表</w:t>
      </w:r>
      <w:bookmarkEnd w:id="31"/>
      <w:bookmarkEnd w:id="32"/>
      <w:bookmarkEnd w:id="33"/>
    </w:p>
    <w:p w14:paraId="10BC369E">
      <w:pPr>
        <w:pStyle w:val="25"/>
        <w:spacing w:before="0" w:line="560" w:lineRule="exact"/>
        <w:ind w:firstLine="480" w:firstLineChars="200"/>
        <w:jc w:val="left"/>
        <w:rPr>
          <w:rFonts w:ascii="仿宋" w:hAnsi="Arial" w:eastAsia="仿宋" w:cs="Arial"/>
          <w:sz w:val="24"/>
          <w:szCs w:val="22"/>
          <w:u w:val="none"/>
        </w:rPr>
      </w:pPr>
      <w:r>
        <w:rPr>
          <w:rFonts w:hint="default" w:ascii="仿宋" w:hAnsi="Arial" w:eastAsia="仿宋" w:cs="Arial"/>
          <w:sz w:val="24"/>
          <w:szCs w:val="22"/>
        </w:rPr>
        <w:t>参赛选手编号：</w:t>
      </w:r>
      <w:r>
        <w:rPr>
          <w:rFonts w:hint="eastAsia" w:ascii="仿宋" w:eastAsia="仿宋" w:cs="Arial"/>
          <w:sz w:val="24"/>
          <w:szCs w:val="22"/>
          <w:u w:val="single"/>
          <w:lang w:val="en-US" w:eastAsia="zh-CN"/>
        </w:rPr>
        <w:t xml:space="preserve">                </w:t>
      </w:r>
      <w:r>
        <w:rPr>
          <w:rFonts w:hint="default" w:ascii="仿宋" w:hAnsi="Arial" w:eastAsia="仿宋" w:cs="Arial"/>
          <w:sz w:val="24"/>
          <w:szCs w:val="22"/>
          <w:u w:val="none"/>
        </w:rPr>
        <w:t xml:space="preserve">            </w:t>
      </w:r>
      <w:r>
        <w:rPr>
          <w:rFonts w:hint="default" w:ascii="仿宋" w:hAnsi="Arial" w:eastAsia="仿宋" w:cs="Arial"/>
          <w:sz w:val="24"/>
          <w:szCs w:val="22"/>
        </w:rPr>
        <w:t xml:space="preserve"> </w:t>
      </w:r>
      <w:r>
        <w:rPr>
          <w:rFonts w:hint="eastAsia" w:ascii="仿宋" w:eastAsia="仿宋" w:cs="Arial"/>
          <w:sz w:val="24"/>
          <w:szCs w:val="22"/>
          <w:lang w:val="en-US" w:eastAsia="zh-CN"/>
        </w:rPr>
        <w:t xml:space="preserve">   赛点号</w:t>
      </w:r>
      <w:r>
        <w:rPr>
          <w:rFonts w:hint="default" w:ascii="仿宋" w:hAnsi="Arial" w:eastAsia="仿宋" w:cs="Arial"/>
          <w:sz w:val="24"/>
          <w:szCs w:val="22"/>
        </w:rPr>
        <w:t>：</w:t>
      </w:r>
      <w:r>
        <w:rPr>
          <w:rFonts w:hint="eastAsia" w:ascii="仿宋" w:eastAsia="仿宋" w:cs="Arial"/>
          <w:sz w:val="24"/>
          <w:szCs w:val="22"/>
          <w:u w:val="single"/>
          <w:lang w:val="en-US" w:eastAsia="zh-CN"/>
        </w:rPr>
        <w:t xml:space="preserve">             </w:t>
      </w:r>
      <w:r>
        <w:rPr>
          <w:rFonts w:hint="default" w:ascii="仿宋" w:hAnsi="Arial" w:eastAsia="仿宋" w:cs="Arial"/>
          <w:sz w:val="24"/>
          <w:szCs w:val="22"/>
          <w:u w:val="none"/>
        </w:rPr>
        <w:t xml:space="preserve">            </w:t>
      </w:r>
    </w:p>
    <w:tbl>
      <w:tblPr>
        <w:tblStyle w:val="18"/>
        <w:tblW w:w="80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7"/>
        <w:gridCol w:w="3828"/>
        <w:gridCol w:w="1956"/>
      </w:tblGrid>
      <w:tr w14:paraId="6E011B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  <w:jc w:val="center"/>
        </w:trPr>
        <w:tc>
          <w:tcPr>
            <w:tcW w:w="2227" w:type="dxa"/>
            <w:noWrap w:val="0"/>
            <w:vAlign w:val="center"/>
          </w:tcPr>
          <w:p w14:paraId="45BA3203">
            <w:pPr>
              <w:tabs>
                <w:tab w:val="left" w:pos="2685"/>
              </w:tabs>
              <w:spacing w:line="400" w:lineRule="exac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竞赛分值</w:t>
            </w:r>
          </w:p>
        </w:tc>
        <w:tc>
          <w:tcPr>
            <w:tcW w:w="3828" w:type="dxa"/>
            <w:noWrap w:val="0"/>
            <w:vAlign w:val="center"/>
          </w:tcPr>
          <w:p w14:paraId="58ABC56C">
            <w:pPr>
              <w:tabs>
                <w:tab w:val="left" w:pos="2685"/>
              </w:tabs>
              <w:spacing w:line="400" w:lineRule="exac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ascii="黑体" w:hAnsi="黑体" w:eastAsia="黑体"/>
                <w:sz w:val="24"/>
              </w:rPr>
              <w:t>评分内容</w:t>
            </w:r>
          </w:p>
        </w:tc>
        <w:tc>
          <w:tcPr>
            <w:tcW w:w="1956" w:type="dxa"/>
            <w:noWrap w:val="0"/>
            <w:vAlign w:val="center"/>
          </w:tcPr>
          <w:p w14:paraId="4936675C">
            <w:pPr>
              <w:tabs>
                <w:tab w:val="left" w:pos="2685"/>
              </w:tabs>
              <w:spacing w:line="400" w:lineRule="exac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裁判评分</w:t>
            </w:r>
          </w:p>
        </w:tc>
      </w:tr>
      <w:tr w14:paraId="253BB0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2227" w:type="dxa"/>
            <w:vMerge w:val="restart"/>
            <w:noWrap w:val="0"/>
            <w:vAlign w:val="center"/>
          </w:tcPr>
          <w:p w14:paraId="0B58107C">
            <w:pPr>
              <w:tabs>
                <w:tab w:val="left" w:pos="2685"/>
              </w:tabs>
              <w:spacing w:line="400" w:lineRule="exact"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陈述时间（20分）</w:t>
            </w:r>
          </w:p>
        </w:tc>
        <w:tc>
          <w:tcPr>
            <w:tcW w:w="3828" w:type="dxa"/>
            <w:noWrap w:val="0"/>
            <w:vAlign w:val="center"/>
          </w:tcPr>
          <w:p w14:paraId="00C184C8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陈述时间不少于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分钟、不超过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分钟的，得20分</w:t>
            </w:r>
          </w:p>
        </w:tc>
        <w:tc>
          <w:tcPr>
            <w:tcW w:w="1956" w:type="dxa"/>
            <w:noWrap w:val="0"/>
            <w:vAlign w:val="center"/>
          </w:tcPr>
          <w:p w14:paraId="4D65BED5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15644E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2227" w:type="dxa"/>
            <w:vMerge w:val="continue"/>
            <w:noWrap w:val="0"/>
            <w:vAlign w:val="center"/>
          </w:tcPr>
          <w:p w14:paraId="05255DEA">
            <w:pPr>
              <w:tabs>
                <w:tab w:val="left" w:pos="2685"/>
              </w:tabs>
              <w:spacing w:line="400" w:lineRule="exact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3828" w:type="dxa"/>
            <w:noWrap w:val="0"/>
            <w:vAlign w:val="center"/>
          </w:tcPr>
          <w:p w14:paraId="1322F1AC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计时到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分钟时，参赛选手仍未陈述完毕，自行终止陈述或由裁判要求其终止陈述的，扣10分</w:t>
            </w:r>
          </w:p>
        </w:tc>
        <w:tc>
          <w:tcPr>
            <w:tcW w:w="1956" w:type="dxa"/>
            <w:noWrap w:val="0"/>
            <w:vAlign w:val="center"/>
          </w:tcPr>
          <w:p w14:paraId="3EDB63C8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23BFEA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  <w:jc w:val="center"/>
        </w:trPr>
        <w:tc>
          <w:tcPr>
            <w:tcW w:w="2227" w:type="dxa"/>
            <w:vMerge w:val="continue"/>
            <w:noWrap w:val="0"/>
            <w:vAlign w:val="center"/>
          </w:tcPr>
          <w:p w14:paraId="76F7E9DC">
            <w:pPr>
              <w:tabs>
                <w:tab w:val="left" w:pos="2685"/>
              </w:tabs>
              <w:spacing w:line="400" w:lineRule="exact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3828" w:type="dxa"/>
            <w:noWrap w:val="0"/>
            <w:vAlign w:val="center"/>
          </w:tcPr>
          <w:p w14:paraId="7D6B4AD4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陈述时间不足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分钟的，每缺少10秒扣2分，不足10秒的，按10秒计算</w:t>
            </w:r>
          </w:p>
        </w:tc>
        <w:tc>
          <w:tcPr>
            <w:tcW w:w="1956" w:type="dxa"/>
            <w:noWrap w:val="0"/>
            <w:vAlign w:val="center"/>
          </w:tcPr>
          <w:p w14:paraId="7EEEAE34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5508F9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2227" w:type="dxa"/>
            <w:vMerge w:val="restart"/>
            <w:noWrap w:val="0"/>
            <w:vAlign w:val="center"/>
          </w:tcPr>
          <w:p w14:paraId="1D97708A">
            <w:pPr>
              <w:tabs>
                <w:tab w:val="left" w:pos="2685"/>
              </w:tabs>
              <w:spacing w:line="400" w:lineRule="exact"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default" w:ascii="仿宋" w:hAnsi="仿宋" w:eastAsia="仿宋"/>
                <w:b/>
                <w:sz w:val="24"/>
                <w:lang w:val="en-US"/>
              </w:rPr>
              <w:t>陈述</w:t>
            </w:r>
            <w:r>
              <w:rPr>
                <w:rFonts w:hint="eastAsia" w:ascii="仿宋" w:hAnsi="仿宋" w:eastAsia="仿宋"/>
                <w:b/>
                <w:sz w:val="24"/>
              </w:rPr>
              <w:t>内容（60分）</w:t>
            </w:r>
          </w:p>
        </w:tc>
        <w:tc>
          <w:tcPr>
            <w:tcW w:w="3828" w:type="dxa"/>
            <w:noWrap w:val="0"/>
            <w:vAlign w:val="center"/>
          </w:tcPr>
          <w:p w14:paraId="539B6A57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内容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符合技术标准及案例实际，无违反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相关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规范条款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（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分）</w:t>
            </w:r>
          </w:p>
        </w:tc>
        <w:tc>
          <w:tcPr>
            <w:tcW w:w="1956" w:type="dxa"/>
            <w:noWrap w:val="0"/>
            <w:vAlign w:val="center"/>
          </w:tcPr>
          <w:p w14:paraId="666E4D39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24ABC4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227" w:type="dxa"/>
            <w:vMerge w:val="continue"/>
            <w:noWrap w:val="0"/>
            <w:vAlign w:val="center"/>
          </w:tcPr>
          <w:p w14:paraId="0C5B51EB">
            <w:pPr>
              <w:tabs>
                <w:tab w:val="left" w:pos="2685"/>
              </w:tabs>
              <w:spacing w:line="400" w:lineRule="exact"/>
              <w:jc w:val="center"/>
              <w:rPr>
                <w:rFonts w:hint="eastAsia" w:ascii="仿宋" w:hAnsi="仿宋" w:eastAsia="仿宋"/>
                <w:b/>
                <w:sz w:val="24"/>
              </w:rPr>
            </w:pPr>
          </w:p>
        </w:tc>
        <w:tc>
          <w:tcPr>
            <w:tcW w:w="3828" w:type="dxa"/>
            <w:noWrap w:val="0"/>
            <w:vAlign w:val="center"/>
          </w:tcPr>
          <w:p w14:paraId="09E1ABD8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PPT制作图文并茂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内容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完整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条理清晰（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分）</w:t>
            </w:r>
          </w:p>
        </w:tc>
        <w:tc>
          <w:tcPr>
            <w:tcW w:w="1956" w:type="dxa"/>
            <w:noWrap w:val="0"/>
            <w:vAlign w:val="center"/>
          </w:tcPr>
          <w:p w14:paraId="71A3CDB6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75269F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227" w:type="dxa"/>
            <w:vMerge w:val="continue"/>
            <w:noWrap w:val="0"/>
            <w:vAlign w:val="center"/>
          </w:tcPr>
          <w:p w14:paraId="7822E39A">
            <w:pPr>
              <w:tabs>
                <w:tab w:val="left" w:pos="2685"/>
              </w:tabs>
              <w:spacing w:line="400" w:lineRule="exact"/>
              <w:jc w:val="center"/>
              <w:rPr>
                <w:rFonts w:hint="eastAsia" w:ascii="仿宋" w:hAnsi="仿宋" w:eastAsia="仿宋"/>
                <w:b/>
                <w:sz w:val="24"/>
              </w:rPr>
            </w:pPr>
          </w:p>
        </w:tc>
        <w:tc>
          <w:tcPr>
            <w:tcW w:w="3828" w:type="dxa"/>
            <w:noWrap w:val="0"/>
            <w:vAlign w:val="center"/>
          </w:tcPr>
          <w:p w14:paraId="6EB0A8B5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PPT展示内容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针对案例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难点、重点、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风险点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提出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针对性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措施</w:t>
            </w: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20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分）</w:t>
            </w:r>
          </w:p>
        </w:tc>
        <w:tc>
          <w:tcPr>
            <w:tcW w:w="1956" w:type="dxa"/>
            <w:noWrap w:val="0"/>
            <w:vAlign w:val="center"/>
          </w:tcPr>
          <w:p w14:paraId="210B7D8A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421868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227" w:type="dxa"/>
            <w:vMerge w:val="continue"/>
            <w:noWrap w:val="0"/>
            <w:vAlign w:val="center"/>
          </w:tcPr>
          <w:p w14:paraId="00BA9878">
            <w:pPr>
              <w:tabs>
                <w:tab w:val="left" w:pos="2685"/>
              </w:tabs>
              <w:spacing w:line="400" w:lineRule="exact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3828" w:type="dxa"/>
            <w:noWrap w:val="0"/>
            <w:vAlign w:val="center"/>
          </w:tcPr>
          <w:p w14:paraId="79347991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陈述内容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结合PPT并贴合案例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，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陈述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具体、形象（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0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分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>）</w:t>
            </w:r>
          </w:p>
        </w:tc>
        <w:tc>
          <w:tcPr>
            <w:tcW w:w="1956" w:type="dxa"/>
            <w:noWrap w:val="0"/>
            <w:vAlign w:val="center"/>
          </w:tcPr>
          <w:p w14:paraId="0502A37F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2ECD29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  <w:jc w:val="center"/>
        </w:trPr>
        <w:tc>
          <w:tcPr>
            <w:tcW w:w="2227" w:type="dxa"/>
            <w:vMerge w:val="restart"/>
            <w:noWrap w:val="0"/>
            <w:vAlign w:val="center"/>
          </w:tcPr>
          <w:p w14:paraId="14CD4C8F">
            <w:pPr>
              <w:tabs>
                <w:tab w:val="left" w:pos="2685"/>
              </w:tabs>
              <w:spacing w:line="400" w:lineRule="exact"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选手表达（20分）</w:t>
            </w:r>
          </w:p>
        </w:tc>
        <w:tc>
          <w:tcPr>
            <w:tcW w:w="3828" w:type="dxa"/>
            <w:noWrap w:val="0"/>
            <w:vAlign w:val="center"/>
          </w:tcPr>
          <w:p w14:paraId="3255EA06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口齿清晰、表达流畅（10分）</w:t>
            </w:r>
          </w:p>
        </w:tc>
        <w:tc>
          <w:tcPr>
            <w:tcW w:w="1956" w:type="dxa"/>
            <w:noWrap w:val="0"/>
            <w:vAlign w:val="center"/>
          </w:tcPr>
          <w:p w14:paraId="20B49CC1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1D751E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2227" w:type="dxa"/>
            <w:vMerge w:val="continue"/>
            <w:noWrap w:val="0"/>
            <w:vAlign w:val="center"/>
          </w:tcPr>
          <w:p w14:paraId="7C0C9286">
            <w:pPr>
              <w:tabs>
                <w:tab w:val="left" w:pos="2685"/>
              </w:tabs>
              <w:spacing w:line="400" w:lineRule="exact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3828" w:type="dxa"/>
            <w:noWrap w:val="0"/>
            <w:vAlign w:val="center"/>
          </w:tcPr>
          <w:p w14:paraId="3866F787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表现力（10分）</w:t>
            </w:r>
          </w:p>
        </w:tc>
        <w:tc>
          <w:tcPr>
            <w:tcW w:w="1956" w:type="dxa"/>
            <w:noWrap w:val="0"/>
            <w:vAlign w:val="center"/>
          </w:tcPr>
          <w:p w14:paraId="178CC9F3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426993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  <w:jc w:val="center"/>
        </w:trPr>
        <w:tc>
          <w:tcPr>
            <w:tcW w:w="2227" w:type="dxa"/>
            <w:noWrap w:val="0"/>
            <w:vAlign w:val="center"/>
          </w:tcPr>
          <w:p w14:paraId="1A1B9090">
            <w:pPr>
              <w:tabs>
                <w:tab w:val="left" w:pos="2685"/>
              </w:tabs>
              <w:jc w:val="center"/>
              <w:rPr>
                <w:rFonts w:hint="eastAsia"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其他</w:t>
            </w:r>
          </w:p>
        </w:tc>
        <w:tc>
          <w:tcPr>
            <w:tcW w:w="3828" w:type="dxa"/>
            <w:noWrap w:val="0"/>
            <w:vAlign w:val="center"/>
          </w:tcPr>
          <w:p w14:paraId="2580461F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eastAsia" w:ascii="仿宋" w:hAnsi="仿宋" w:eastAsia="仿宋" w:cs="仿宋"/>
                <w:b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竞赛过程中参赛选手以任何方式（包括PPT）向裁判表明地区及企业名称、</w:t>
            </w: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/>
              </w:rPr>
              <w:t>企业LOGO、</w:t>
            </w:r>
            <w:r>
              <w:rPr>
                <w:rFonts w:hint="eastAsia" w:ascii="仿宋" w:hAnsi="仿宋" w:eastAsia="仿宋" w:cs="仿宋"/>
                <w:kern w:val="0"/>
                <w:sz w:val="21"/>
                <w:szCs w:val="21"/>
              </w:rPr>
              <w:t>选手姓名的，扣10分</w:t>
            </w:r>
          </w:p>
        </w:tc>
        <w:tc>
          <w:tcPr>
            <w:tcW w:w="1956" w:type="dxa"/>
            <w:noWrap w:val="0"/>
            <w:vAlign w:val="center"/>
          </w:tcPr>
          <w:p w14:paraId="787F7DC1">
            <w:pPr>
              <w:keepNext w:val="0"/>
              <w:keepLines w:val="0"/>
              <w:pageBreakBefore w:val="0"/>
              <w:widowControl w:val="0"/>
              <w:tabs>
                <w:tab w:val="left" w:pos="268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" w:hAnsi="仿宋" w:eastAsia="仿宋" w:cs="仿宋"/>
                <w:b/>
                <w:sz w:val="21"/>
                <w:szCs w:val="21"/>
              </w:rPr>
            </w:pPr>
          </w:p>
        </w:tc>
      </w:tr>
      <w:tr w14:paraId="70A6FC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2227" w:type="dxa"/>
            <w:noWrap w:val="0"/>
            <w:vAlign w:val="center"/>
          </w:tcPr>
          <w:p w14:paraId="74877508">
            <w:pPr>
              <w:tabs>
                <w:tab w:val="left" w:pos="2685"/>
              </w:tabs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满分100分</w:t>
            </w:r>
          </w:p>
        </w:tc>
        <w:tc>
          <w:tcPr>
            <w:tcW w:w="3828" w:type="dxa"/>
            <w:noWrap w:val="0"/>
            <w:vAlign w:val="center"/>
          </w:tcPr>
          <w:p w14:paraId="2640F50F">
            <w:pPr>
              <w:tabs>
                <w:tab w:val="left" w:pos="2685"/>
              </w:tabs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总计</w:t>
            </w:r>
          </w:p>
        </w:tc>
        <w:tc>
          <w:tcPr>
            <w:tcW w:w="1956" w:type="dxa"/>
            <w:noWrap w:val="0"/>
            <w:vAlign w:val="center"/>
          </w:tcPr>
          <w:p w14:paraId="45196846">
            <w:pPr>
              <w:tabs>
                <w:tab w:val="left" w:pos="2685"/>
              </w:tabs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</w:tr>
    </w:tbl>
    <w:p w14:paraId="7DBEEC03">
      <w:pPr>
        <w:pStyle w:val="25"/>
        <w:spacing w:before="0" w:line="560" w:lineRule="exact"/>
        <w:ind w:firstLine="789" w:firstLineChars="329"/>
        <w:jc w:val="left"/>
        <w:rPr>
          <w:rFonts w:hint="default" w:ascii="仿宋" w:hAnsi="Arial" w:eastAsia="仿宋" w:cs="Arial"/>
          <w:sz w:val="24"/>
          <w:szCs w:val="22"/>
        </w:rPr>
      </w:pPr>
      <w:r>
        <w:rPr>
          <w:rFonts w:hint="default" w:ascii="仿宋" w:hAnsi="Arial" w:eastAsia="仿宋" w:cs="Arial"/>
          <w:b w:val="0"/>
          <w:sz w:val="24"/>
        </w:rPr>
        <w:t>注：</w:t>
      </w:r>
      <w:r>
        <w:rPr>
          <w:rFonts w:hint="default" w:ascii="仿宋" w:hAnsi="Arial" w:eastAsia="仿宋" w:cs="Arial"/>
          <w:sz w:val="24"/>
        </w:rPr>
        <w:t>裁判评分分值精确到小数点后1位。</w:t>
      </w:r>
    </w:p>
    <w:p w14:paraId="6A631808">
      <w:pPr>
        <w:pStyle w:val="2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789" w:firstLineChars="329"/>
        <w:jc w:val="left"/>
        <w:textAlignment w:val="auto"/>
        <w:rPr>
          <w:rFonts w:hint="eastAsia" w:ascii="仿宋" w:eastAsia="仿宋"/>
          <w:sz w:val="24"/>
          <w:u w:val="single"/>
          <w:lang w:val="en-US" w:eastAsia="zh-CN"/>
        </w:rPr>
      </w:pPr>
      <w:r>
        <w:rPr>
          <w:rFonts w:hint="eastAsia" w:ascii="仿宋" w:eastAsia="仿宋"/>
          <w:sz w:val="24"/>
          <w:lang w:val="en-US" w:eastAsia="zh-CN"/>
        </w:rPr>
        <w:t>陈述</w:t>
      </w:r>
      <w:r>
        <w:rPr>
          <w:rFonts w:hint="eastAsia" w:ascii="仿宋" w:eastAsia="仿宋"/>
          <w:sz w:val="24"/>
        </w:rPr>
        <w:t>时长</w:t>
      </w:r>
      <w:r>
        <w:rPr>
          <w:rFonts w:ascii="仿宋" w:eastAsia="仿宋"/>
          <w:sz w:val="24"/>
        </w:rPr>
        <w:t>：</w:t>
      </w:r>
      <w:r>
        <w:rPr>
          <w:rFonts w:hint="eastAsia" w:ascii="仿宋" w:hAnsi="仿宋" w:eastAsia="仿宋" w:cs="仿宋"/>
          <w:b/>
          <w:sz w:val="28"/>
          <w:szCs w:val="28"/>
          <w:u w:val="single"/>
        </w:rPr>
        <w:t xml:space="preserve">        </w:t>
      </w:r>
      <w:r>
        <w:rPr>
          <w:rFonts w:hint="eastAsia" w:ascii="仿宋" w:hAnsi="仿宋" w:eastAsia="仿宋" w:cs="仿宋"/>
          <w:b/>
          <w:color w:val="000000"/>
          <w:kern w:val="0"/>
          <w:sz w:val="24"/>
          <w:u w:val="single"/>
        </w:rPr>
        <w:t>′</w:t>
      </w:r>
      <w:r>
        <w:rPr>
          <w:rFonts w:hint="eastAsia" w:ascii="仿宋" w:hAnsi="仿宋" w:eastAsia="仿宋" w:cs="仿宋"/>
          <w:b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b/>
          <w:color w:val="000000"/>
          <w:kern w:val="0"/>
          <w:sz w:val="24"/>
          <w:u w:val="single"/>
        </w:rPr>
        <w:t>″</w:t>
      </w:r>
      <w:r>
        <w:rPr>
          <w:rFonts w:hint="eastAsia" w:ascii="仿宋" w:hAnsi="仿宋" w:eastAsia="仿宋" w:cs="仿宋"/>
          <w:b/>
          <w:sz w:val="28"/>
          <w:szCs w:val="28"/>
          <w:u w:val="single"/>
        </w:rPr>
        <w:t xml:space="preserve">  </w:t>
      </w:r>
    </w:p>
    <w:p w14:paraId="306FBDFC">
      <w:pPr>
        <w:pStyle w:val="2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1507" w:firstLineChars="628"/>
        <w:jc w:val="left"/>
        <w:textAlignment w:val="auto"/>
        <w:rPr>
          <w:rFonts w:ascii="仿宋" w:eastAsia="仿宋"/>
          <w:sz w:val="24"/>
        </w:rPr>
      </w:pPr>
    </w:p>
    <w:p w14:paraId="234DC04F">
      <w:pPr>
        <w:pStyle w:val="2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1507" w:firstLineChars="628"/>
        <w:jc w:val="left"/>
        <w:textAlignment w:val="auto"/>
        <w:rPr>
          <w:rFonts w:ascii="仿宋" w:eastAsia="仿宋"/>
          <w:sz w:val="24"/>
        </w:rPr>
      </w:pPr>
      <w:r>
        <w:rPr>
          <w:rFonts w:ascii="仿宋" w:eastAsia="仿宋"/>
          <w:sz w:val="24"/>
        </w:rPr>
        <w:t>裁判签字：</w:t>
      </w:r>
      <w:r>
        <w:rPr>
          <w:rFonts w:hint="eastAsia" w:ascii="仿宋" w:eastAsia="仿宋"/>
          <w:sz w:val="24"/>
          <w:u w:val="single"/>
          <w:lang w:val="en-US" w:eastAsia="zh-CN"/>
        </w:rPr>
        <w:t xml:space="preserve">                               </w:t>
      </w:r>
      <w:r>
        <w:rPr>
          <w:rFonts w:hint="eastAsia" w:ascii="仿宋" w:eastAsia="仿宋"/>
          <w:sz w:val="24"/>
          <w:lang w:val="en-US" w:eastAsia="zh-CN"/>
        </w:rPr>
        <w:t xml:space="preserve">                                 </w:t>
      </w:r>
    </w:p>
    <w:p w14:paraId="3437E74A">
      <w:pPr>
        <w:pStyle w:val="25"/>
        <w:spacing w:line="560" w:lineRule="exact"/>
        <w:ind w:firstLine="1507" w:firstLineChars="628"/>
        <w:jc w:val="left"/>
        <w:rPr>
          <w:rFonts w:ascii="仿宋" w:eastAsia="仿宋"/>
          <w:sz w:val="24"/>
        </w:rPr>
        <w:sectPr>
          <w:pgSz w:w="11906" w:h="16838"/>
          <w:pgMar w:top="1440" w:right="1440" w:bottom="1440" w:left="1440" w:header="708" w:footer="708" w:gutter="0"/>
          <w:pgNumType w:fmt="decimal"/>
          <w:cols w:space="720" w:num="1"/>
          <w:docGrid w:linePitch="360" w:charSpace="0"/>
        </w:sectPr>
      </w:pPr>
      <w:r>
        <w:rPr>
          <w:rFonts w:hint="eastAsia" w:ascii="仿宋" w:eastAsia="仿宋"/>
          <w:sz w:val="24"/>
          <w:lang w:val="en-US" w:eastAsia="zh-CN"/>
        </w:rPr>
        <w:t>赛区</w:t>
      </w:r>
      <w:r>
        <w:rPr>
          <w:rFonts w:ascii="仿宋" w:eastAsia="仿宋"/>
          <w:sz w:val="24"/>
        </w:rPr>
        <w:t>裁判</w:t>
      </w:r>
      <w:r>
        <w:rPr>
          <w:rFonts w:hint="eastAsia" w:ascii="仿宋" w:eastAsia="仿宋"/>
          <w:sz w:val="24"/>
          <w:lang w:val="en-US" w:eastAsia="zh-CN"/>
        </w:rPr>
        <w:t>长</w:t>
      </w:r>
      <w:r>
        <w:rPr>
          <w:rFonts w:ascii="仿宋" w:eastAsia="仿宋"/>
          <w:sz w:val="24"/>
        </w:rPr>
        <w:t>签字：</w:t>
      </w:r>
      <w:r>
        <w:rPr>
          <w:rFonts w:hint="eastAsia" w:ascii="仿宋" w:eastAsia="仿宋"/>
          <w:sz w:val="24"/>
          <w:u w:val="single"/>
          <w:lang w:val="en-US" w:eastAsia="zh-CN"/>
        </w:rPr>
        <w:t xml:space="preserve">                    </w:t>
      </w:r>
      <w:r>
        <w:rPr>
          <w:rFonts w:hint="eastAsia" w:ascii="仿宋" w:eastAsia="仿宋"/>
          <w:sz w:val="24"/>
          <w:lang w:val="en-US" w:eastAsia="zh-CN"/>
        </w:rPr>
        <w:t xml:space="preserve">    </w:t>
      </w:r>
      <w:r>
        <w:rPr>
          <w:rFonts w:hint="default" w:ascii="仿宋" w:hAnsi="Arial" w:eastAsia="仿宋" w:cs="Arial"/>
          <w:sz w:val="24"/>
          <w:szCs w:val="22"/>
          <w:u w:val="none"/>
        </w:rPr>
        <w:t xml:space="preserve">        </w:t>
      </w:r>
    </w:p>
    <w:p w14:paraId="0A3BD564">
      <w:pPr>
        <w:pStyle w:val="3"/>
        <w:snapToGrid/>
        <w:spacing w:before="0" w:beforeAutospacing="0" w:after="0" w:afterAutospacing="0" w:line="600" w:lineRule="exact"/>
        <w:ind w:left="0" w:leftChars="0" w:right="0" w:rightChars="0" w:firstLine="562" w:firstLineChars="200"/>
        <w:jc w:val="both"/>
        <w:outlineLvl w:val="1"/>
        <w:rPr>
          <w:rFonts w:hint="eastAsia" w:ascii="仿宋_GB2312" w:hAnsi="Times New Roman" w:eastAsia="仿宋_GB2312" w:cs="仿宋_GB2312"/>
          <w:b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bookmarkStart w:id="34" w:name="_Toc21931"/>
      <w:bookmarkStart w:id="35" w:name="_Toc31238"/>
      <w:bookmarkStart w:id="36" w:name="_Toc26204"/>
      <w:r>
        <w:rPr>
          <w:rFonts w:hint="eastAsia" w:ascii="仿宋_GB2312" w:hAnsi="Times New Roman" w:eastAsia="仿宋_GB2312" w:cs="仿宋_GB2312"/>
          <w:b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（三）</w:t>
      </w:r>
      <w:r>
        <w:rPr>
          <w:rFonts w:hint="eastAsia" w:ascii="仿宋_GB2312" w:hAnsi="Times New Roman" w:eastAsia="仿宋_GB2312" w:cs="仿宋_GB2312"/>
          <w:b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现场答辩</w:t>
      </w:r>
      <w:bookmarkEnd w:id="34"/>
      <w:bookmarkEnd w:id="35"/>
      <w:bookmarkEnd w:id="36"/>
    </w:p>
    <w:p w14:paraId="5168A525">
      <w:pPr>
        <w:pStyle w:val="5"/>
        <w:snapToGrid/>
        <w:spacing w:before="0" w:beforeAutospacing="0" w:after="0" w:afterAutospacing="0" w:line="600" w:lineRule="exact"/>
        <w:ind w:left="0" w:leftChars="0" w:right="0" w:rightChars="0" w:firstLine="482" w:firstLineChars="0"/>
        <w:jc w:val="left"/>
        <w:outlineLvl w:val="2"/>
        <w:rPr>
          <w:rFonts w:hint="eastAsia" w:ascii="仿宋_GB2312" w:hAnsi="Times New Roman" w:eastAsia="仿宋_GB2312" w:cs="仿宋_GB2312"/>
          <w:b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bookmarkStart w:id="37" w:name="_Toc28120"/>
      <w:bookmarkStart w:id="38" w:name="_Toc31897"/>
      <w:bookmarkStart w:id="39" w:name="_Toc5860"/>
      <w:r>
        <w:rPr>
          <w:rFonts w:hint="eastAsia" w:ascii="仿宋_GB2312" w:hAnsi="Times New Roman" w:eastAsia="仿宋_GB2312" w:cs="仿宋_GB2312"/>
          <w:b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Times New Roman" w:eastAsia="仿宋_GB2312" w:cs="仿宋_GB2312"/>
          <w:b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技术标准</w:t>
      </w:r>
      <w:bookmarkEnd w:id="37"/>
      <w:bookmarkEnd w:id="38"/>
      <w:bookmarkEnd w:id="39"/>
    </w:p>
    <w:p w14:paraId="763EB3CC">
      <w:pPr>
        <w:pStyle w:val="25"/>
        <w:numPr>
          <w:ilvl w:val="0"/>
          <w:numId w:val="0"/>
        </w:numPr>
        <w:snapToGrid/>
        <w:spacing w:before="0" w:beforeAutospacing="0" w:after="0" w:afterAutospacing="0" w:line="600" w:lineRule="exact"/>
        <w:ind w:left="0" w:leftChars="0" w:right="0" w:rightChars="0" w:firstLine="482" w:firstLineChars="0"/>
        <w:jc w:val="left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与抽取答辩试题相关的政策文件及规范标准</w:t>
      </w:r>
    </w:p>
    <w:p w14:paraId="262F72BF">
      <w:pPr>
        <w:pStyle w:val="5"/>
        <w:snapToGrid/>
        <w:spacing w:before="0" w:beforeAutospacing="0" w:after="0" w:afterAutospacing="0" w:line="600" w:lineRule="exact"/>
        <w:ind w:left="0" w:leftChars="0" w:right="0" w:rightChars="0" w:firstLine="482" w:firstLineChars="0"/>
        <w:jc w:val="left"/>
        <w:outlineLvl w:val="2"/>
        <w:rPr>
          <w:rFonts w:hint="eastAsia" w:ascii="仿宋_GB2312" w:hAnsi="Times New Roman" w:eastAsia="仿宋_GB2312" w:cs="仿宋_GB2312"/>
          <w:b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bookmarkStart w:id="40" w:name="_Toc30274"/>
      <w:bookmarkStart w:id="41" w:name="_Toc9411"/>
      <w:bookmarkStart w:id="42" w:name="_Toc28411"/>
      <w:r>
        <w:rPr>
          <w:rFonts w:hint="eastAsia" w:ascii="仿宋_GB2312" w:hAnsi="Times New Roman" w:eastAsia="仿宋_GB2312" w:cs="仿宋_GB2312"/>
          <w:b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Times New Roman" w:eastAsia="仿宋_GB2312" w:cs="仿宋_GB2312"/>
          <w:b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竞赛仪器设备</w:t>
      </w:r>
      <w:bookmarkEnd w:id="40"/>
      <w:bookmarkEnd w:id="41"/>
      <w:bookmarkEnd w:id="42"/>
    </w:p>
    <w:p w14:paraId="27EE3B6E">
      <w:pPr>
        <w:pStyle w:val="25"/>
        <w:numPr>
          <w:ilvl w:val="-1"/>
          <w:numId w:val="0"/>
        </w:numPr>
        <w:snapToGrid/>
        <w:spacing w:before="0" w:beforeAutospacing="0" w:after="0" w:afterAutospacing="0" w:line="600" w:lineRule="exact"/>
        <w:ind w:left="482" w:leftChars="0" w:right="0" w:rightChars="0" w:firstLine="0" w:firstLineChars="0"/>
        <w:jc w:val="left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（1）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赛会提供：试题抽取设备（电子抽签系统或纸质抽签箱，内含编号的质量/安全隐患影像资料清单）、影像播放设备（显示器、投影仪）、计时器、录音设备（用于记录选手答辩内容）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纸、笔等。</w:t>
      </w:r>
    </w:p>
    <w:p w14:paraId="744349B1">
      <w:pPr>
        <w:pStyle w:val="25"/>
        <w:numPr>
          <w:ilvl w:val="-1"/>
          <w:numId w:val="0"/>
        </w:numPr>
        <w:snapToGrid/>
        <w:spacing w:before="0" w:beforeAutospacing="0" w:after="0" w:afterAutospacing="0" w:line="600" w:lineRule="exact"/>
        <w:ind w:left="482" w:leftChars="0" w:right="0" w:rightChars="0" w:firstLine="0" w:firstLineChars="0"/>
        <w:jc w:val="left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（2）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参赛选手自备：无（无需携带任何资料，现场口述答辩）。</w:t>
      </w:r>
    </w:p>
    <w:p w14:paraId="407B8398">
      <w:pPr>
        <w:pStyle w:val="5"/>
        <w:numPr>
          <w:ilvl w:val="-1"/>
          <w:numId w:val="0"/>
        </w:numPr>
        <w:snapToGrid/>
        <w:spacing w:before="0" w:beforeAutospacing="0" w:after="0" w:afterAutospacing="0" w:line="600" w:lineRule="exact"/>
        <w:ind w:left="0" w:leftChars="0" w:right="0" w:rightChars="0" w:firstLine="482" w:firstLineChars="0"/>
        <w:jc w:val="left"/>
        <w:outlineLvl w:val="2"/>
        <w:rPr>
          <w:rFonts w:hint="eastAsia" w:ascii="仿宋_GB2312" w:hAnsi="Times New Roman" w:eastAsia="仿宋_GB2312" w:cs="仿宋_GB2312"/>
          <w:b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bookmarkStart w:id="43" w:name="_Toc31923"/>
      <w:bookmarkStart w:id="44" w:name="_Toc15515"/>
      <w:bookmarkStart w:id="45" w:name="_Toc18492"/>
      <w:r>
        <w:rPr>
          <w:rFonts w:hint="eastAsia" w:ascii="仿宋_GB2312" w:hAnsi="Times New Roman" w:eastAsia="仿宋_GB2312" w:cs="仿宋_GB2312"/>
          <w:b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3.竞赛内容</w:t>
      </w:r>
      <w:bookmarkEnd w:id="43"/>
      <w:bookmarkEnd w:id="44"/>
      <w:bookmarkEnd w:id="45"/>
    </w:p>
    <w:p w14:paraId="2F2D3E09">
      <w:pPr>
        <w:pStyle w:val="5"/>
        <w:spacing w:before="0" w:after="0" w:line="600" w:lineRule="exact"/>
        <w:ind w:firstLine="482" w:firstLineChars="0"/>
        <w:outlineLvl w:val="2"/>
        <w:rPr>
          <w:rFonts w:hint="eastAsia" w:ascii="仿宋_GB2312" w:hAnsi="Times New Roman" w:eastAsia="仿宋_GB2312" w:cs="仿宋_GB2312"/>
          <w:b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bookmarkStart w:id="46" w:name="_Toc31041"/>
      <w:r>
        <w:rPr>
          <w:rFonts w:hint="eastAsia" w:ascii="仿宋_GB2312" w:hAnsi="Times New Roman" w:eastAsia="仿宋_GB2312" w:cs="仿宋_GB2312"/>
          <w:b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（1）试题抽取</w:t>
      </w:r>
      <w:bookmarkEnd w:id="46"/>
    </w:p>
    <w:p w14:paraId="129AB149">
      <w:pPr>
        <w:pStyle w:val="25"/>
        <w:numPr>
          <w:ilvl w:val="1"/>
          <w:numId w:val="0"/>
        </w:numPr>
        <w:snapToGrid/>
        <w:spacing w:before="0" w:beforeAutospacing="0" w:after="0" w:afterAutospacing="0" w:line="600" w:lineRule="exact"/>
        <w:ind w:left="0" w:leftChars="0" w:right="0" w:rightChars="0" w:firstLine="560" w:firstLineChars="200"/>
        <w:jc w:val="left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①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赛会提前准备</w:t>
      </w:r>
      <w:r>
        <w:rPr>
          <w:rFonts w:hint="eastAsia" w:ascii="仿宋_GB2312" w:hAnsi="Times New Roman" w:eastAsia="仿宋_GB2312" w:cs="仿宋_GB2312"/>
          <w:b w:val="0"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影像资料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按房建、市政、机电安装三个专业划分；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含图片、照片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内容涵盖：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质量缺陷和安全隐患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），每个影像资料对应1个编号。</w:t>
      </w:r>
    </w:p>
    <w:p w14:paraId="25C05182">
      <w:pPr>
        <w:pStyle w:val="25"/>
        <w:numPr>
          <w:ilvl w:val="1"/>
          <w:numId w:val="0"/>
        </w:numPr>
        <w:snapToGrid/>
        <w:spacing w:before="0" w:beforeAutospacing="0" w:after="0" w:afterAutospacing="0" w:line="600" w:lineRule="exact"/>
        <w:ind w:left="0" w:leftChars="0" w:right="0" w:rightChars="0" w:firstLine="560" w:firstLineChars="200"/>
        <w:jc w:val="left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②参赛选手任选一个专业从试题抽取设备中随机抽取1个编号，助理裁判根据编号播放对应的影像资料。</w:t>
      </w:r>
    </w:p>
    <w:p w14:paraId="0FA818E4">
      <w:pPr>
        <w:pStyle w:val="5"/>
        <w:spacing w:before="0" w:after="0" w:line="600" w:lineRule="exact"/>
        <w:ind w:firstLine="482" w:firstLineChars="0"/>
        <w:outlineLvl w:val="2"/>
        <w:rPr>
          <w:rFonts w:hint="eastAsia" w:ascii="仿宋_GB2312" w:hAnsi="Times New Roman" w:eastAsia="仿宋_GB2312" w:cs="仿宋_GB2312"/>
          <w:b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（2）答辩内容</w:t>
      </w:r>
    </w:p>
    <w:p w14:paraId="28EC4B22">
      <w:pPr>
        <w:pStyle w:val="25"/>
        <w:numPr>
          <w:ilvl w:val="-1"/>
          <w:numId w:val="0"/>
        </w:numPr>
        <w:spacing w:before="0" w:after="0" w:line="600" w:lineRule="exact"/>
        <w:ind w:left="0" w:firstLine="560" w:firstLineChars="200"/>
        <w:rPr>
          <w:rFonts w:hint="eastAsia" w:ascii="仿宋_GB2312" w:hAnsi="Times New Roman" w:eastAsia="仿宋_GB2312" w:cs="仿宋_GB2312"/>
          <w:bCs w:val="0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Cs w:val="0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①每组图片包含不少于1个质量缺陷内容和2个安全隐患内容。每组图片可由1张或2张图片组成。</w:t>
      </w:r>
    </w:p>
    <w:p w14:paraId="74A2D314">
      <w:pPr>
        <w:pStyle w:val="25"/>
        <w:numPr>
          <w:ilvl w:val="-1"/>
          <w:numId w:val="0"/>
        </w:numPr>
        <w:spacing w:before="0" w:after="0" w:line="600" w:lineRule="exact"/>
        <w:ind w:left="0" w:firstLine="560" w:firstLineChars="200"/>
        <w:rPr>
          <w:rFonts w:hint="eastAsia" w:ascii="仿宋_GB2312" w:hAnsi="Times New Roman" w:eastAsia="仿宋_GB2312" w:cs="仿宋_GB2312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②问题识别：指出影像资料中存在的质量缺陷和安全隐患（如“某项目混凝土梁存在贯穿性裂缝”）。</w:t>
      </w:r>
    </w:p>
    <w:p w14:paraId="7B06CBA8">
      <w:pPr>
        <w:pStyle w:val="25"/>
        <w:numPr>
          <w:ilvl w:val="-1"/>
          <w:numId w:val="0"/>
        </w:numPr>
        <w:spacing w:before="0" w:after="0" w:line="600" w:lineRule="exact"/>
        <w:ind w:left="0" w:firstLine="560" w:firstLineChars="200"/>
        <w:jc w:val="left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③问题分析处理：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内容包括质量缺陷和安全隐患两类，任选其中一类进行问题分析处理陈述。如选定质量缺陷类，需进行原因分析和处理方法陈述；如选定安全隐患类，需进行风险分析以及安全措施的规范做法陈述。</w:t>
      </w:r>
    </w:p>
    <w:p w14:paraId="7D6B763C">
      <w:pPr>
        <w:pStyle w:val="25"/>
        <w:numPr>
          <w:ilvl w:val="-1"/>
          <w:numId w:val="0"/>
        </w:numPr>
        <w:spacing w:before="0" w:after="0" w:line="600" w:lineRule="exact"/>
        <w:ind w:left="0" w:firstLine="560" w:firstLineChars="200"/>
        <w:jc w:val="left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④监理工作措施：监理指令选择合理、闭合处理。</w:t>
      </w:r>
    </w:p>
    <w:p w14:paraId="75A179DC">
      <w:pPr>
        <w:pStyle w:val="5"/>
        <w:snapToGrid/>
        <w:spacing w:before="0" w:beforeAutospacing="0" w:after="0" w:afterAutospacing="0" w:line="600" w:lineRule="exact"/>
        <w:ind w:left="0" w:leftChars="0" w:right="0" w:rightChars="0" w:firstLine="482" w:firstLineChars="0"/>
        <w:jc w:val="left"/>
        <w:outlineLvl w:val="2"/>
        <w:rPr>
          <w:rFonts w:hint="eastAsia" w:ascii="仿宋_GB2312" w:hAnsi="Times New Roman" w:eastAsia="仿宋_GB2312" w:cs="仿宋_GB2312"/>
          <w:b/>
          <w:bCs w:val="0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bookmarkStart w:id="47" w:name="_Toc20086"/>
      <w:bookmarkStart w:id="48" w:name="_Toc19397"/>
      <w:bookmarkStart w:id="49" w:name="_Toc27489"/>
      <w:r>
        <w:rPr>
          <w:rFonts w:hint="eastAsia" w:ascii="仿宋_GB2312" w:hAnsi="Times New Roman" w:eastAsia="仿宋_GB2312" w:cs="仿宋_GB2312"/>
          <w:b/>
          <w:bCs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Times New Roman" w:eastAsia="仿宋_GB2312" w:cs="仿宋_GB2312"/>
          <w:b/>
          <w:b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竞赛规则</w:t>
      </w:r>
      <w:bookmarkEnd w:id="47"/>
      <w:bookmarkEnd w:id="48"/>
      <w:bookmarkEnd w:id="49"/>
    </w:p>
    <w:p w14:paraId="7A6B3E12">
      <w:pPr>
        <w:pStyle w:val="25"/>
        <w:numPr>
          <w:ilvl w:val="-1"/>
          <w:numId w:val="0"/>
        </w:numPr>
        <w:snapToGrid/>
        <w:spacing w:before="0" w:beforeAutospacing="0" w:after="0" w:afterAutospacing="0" w:line="600" w:lineRule="exact"/>
        <w:ind w:left="482" w:leftChars="0" w:right="0" w:rightChars="0" w:firstLine="0" w:firstLineChars="0"/>
        <w:jc w:val="left"/>
        <w:outlineLvl w:val="3"/>
        <w:rPr>
          <w:rFonts w:hint="eastAsia" w:ascii="仿宋_GB2312" w:hAnsi="Times New Roman" w:eastAsia="仿宋_GB2312" w:cs="仿宋_GB2312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（1）</w:t>
      </w:r>
      <w:r>
        <w:rPr>
          <w:rFonts w:hint="eastAsia" w:ascii="仿宋_GB2312" w:hAnsi="Times New Roman" w:eastAsia="仿宋_GB2312" w:cs="仿宋_GB2312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赛前检录与抽签</w:t>
      </w:r>
    </w:p>
    <w:p w14:paraId="295CA7A2">
      <w:pPr>
        <w:pStyle w:val="2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560" w:firstLineChars="200"/>
        <w:jc w:val="left"/>
        <w:textAlignment w:val="auto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①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竞赛当日，参赛选手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按赛程规定时间，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凭身份证、参赛凭证在检录处检录；未按时检录的，视为放弃竞赛。</w:t>
      </w:r>
    </w:p>
    <w:p w14:paraId="28AC1FDB">
      <w:pPr>
        <w:pStyle w:val="2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560" w:firstLineChars="200"/>
        <w:jc w:val="left"/>
        <w:textAlignment w:val="auto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②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检录后，选手抽取竞赛顺序号，按序号在候赛区等候，未经许可不得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离开候赛区或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进入竞赛场地。</w:t>
      </w:r>
    </w:p>
    <w:p w14:paraId="451B0EEA">
      <w:pPr>
        <w:pStyle w:val="25"/>
        <w:numPr>
          <w:ilvl w:val="-1"/>
          <w:numId w:val="0"/>
        </w:numPr>
        <w:snapToGrid/>
        <w:spacing w:before="0" w:beforeAutospacing="0" w:after="0" w:afterAutospacing="0" w:line="600" w:lineRule="exact"/>
        <w:ind w:left="482" w:leftChars="0" w:right="0" w:rightChars="0" w:firstLine="0" w:firstLineChars="0"/>
        <w:jc w:val="left"/>
        <w:outlineLvl w:val="3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（2）试题获取与准备</w:t>
      </w:r>
    </w:p>
    <w:p w14:paraId="13001C31">
      <w:pPr>
        <w:pStyle w:val="25"/>
        <w:numPr>
          <w:ilvl w:val="1"/>
          <w:numId w:val="0"/>
        </w:numPr>
        <w:snapToGrid/>
        <w:spacing w:before="0" w:beforeAutospacing="0" w:after="0" w:afterAutospacing="0" w:line="600" w:lineRule="exact"/>
        <w:ind w:left="0" w:leftChars="0" w:right="0" w:rightChars="0" w:firstLine="482" w:firstLineChars="0"/>
        <w:jc w:val="left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选手抽取试题编号后，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助理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裁判播放影像资料；播放结束后，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选手有3分钟的准备时间，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选手准备时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可以在草稿上做准备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，准备期间不得查阅资料、与他人交流。</w:t>
      </w:r>
    </w:p>
    <w:p w14:paraId="790A2A28">
      <w:pPr>
        <w:pStyle w:val="25"/>
        <w:numPr>
          <w:ilvl w:val="-1"/>
          <w:numId w:val="0"/>
        </w:numPr>
        <w:snapToGrid/>
        <w:spacing w:before="0" w:beforeAutospacing="0" w:after="0" w:afterAutospacing="0" w:line="600" w:lineRule="exact"/>
        <w:ind w:left="482" w:leftChars="0" w:right="0" w:rightChars="0" w:firstLine="0" w:firstLineChars="0"/>
        <w:jc w:val="left"/>
        <w:outlineLvl w:val="3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（3）答辩计时与要求</w:t>
      </w:r>
    </w:p>
    <w:p w14:paraId="6F9B06F3">
      <w:pPr>
        <w:pStyle w:val="25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560" w:firstLineChars="200"/>
        <w:jc w:val="both"/>
        <w:textAlignment w:val="auto"/>
        <w:rPr>
          <w:rFonts w:hint="eastAsia" w:ascii="仿宋_GB2312" w:hAnsi="Times New Roman" w:eastAsia="仿宋_GB2312" w:cs="仿宋_GB2312"/>
          <w:color w:val="000000" w:themeColor="text1"/>
          <w:spacing w:val="-6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①</w:t>
      </w:r>
      <w:r>
        <w:rPr>
          <w:rFonts w:hint="eastAsia" w:ascii="仿宋_GB2312" w:hAnsi="Times New Roman" w:eastAsia="仿宋_GB2312" w:cs="仿宋_GB2312"/>
          <w:color w:val="000000" w:themeColor="text1"/>
          <w:spacing w:val="-6"/>
          <w:sz w:val="28"/>
          <w:szCs w:val="28"/>
          <w14:textFill>
            <w14:solidFill>
              <w14:schemeClr w14:val="tx1"/>
            </w14:solidFill>
          </w14:textFill>
        </w:rPr>
        <w:t>赛场分N个赛点同时竞赛，每个赛点配备</w:t>
      </w:r>
      <w:r>
        <w:rPr>
          <w:rFonts w:hint="eastAsia" w:ascii="仿宋_GB2312" w:hAnsi="Times New Roman" w:eastAsia="仿宋_GB2312" w:cs="仿宋_GB2312"/>
          <w:color w:val="000000" w:themeColor="text1"/>
          <w:spacing w:val="-6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N</w:t>
      </w:r>
      <w:r>
        <w:rPr>
          <w:rFonts w:hint="eastAsia" w:ascii="仿宋_GB2312" w:hAnsi="Times New Roman" w:eastAsia="仿宋_GB2312" w:cs="仿宋_GB2312"/>
          <w:color w:val="000000" w:themeColor="text1"/>
          <w:spacing w:val="-6"/>
          <w:sz w:val="28"/>
          <w:szCs w:val="28"/>
          <w14:textFill>
            <w14:solidFill>
              <w14:schemeClr w14:val="tx1"/>
            </w14:solidFill>
          </w14:textFill>
        </w:rPr>
        <w:t>名裁判；准备时间结束后，裁判发令“开始答辩”，计时同步启动；答辩总时长不超过</w:t>
      </w:r>
      <w:r>
        <w:rPr>
          <w:rFonts w:hint="eastAsia" w:ascii="仿宋_GB2312" w:hAnsi="Times New Roman" w:eastAsia="仿宋_GB2312" w:cs="仿宋_GB2312"/>
          <w:color w:val="000000" w:themeColor="text1"/>
          <w:spacing w:val="-6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Times New Roman" w:eastAsia="仿宋_GB2312" w:cs="仿宋_GB2312"/>
          <w:color w:val="000000" w:themeColor="text1"/>
          <w:spacing w:val="-6"/>
          <w:sz w:val="28"/>
          <w:szCs w:val="28"/>
          <w14:textFill>
            <w14:solidFill>
              <w14:schemeClr w14:val="tx1"/>
            </w14:solidFill>
          </w14:textFill>
        </w:rPr>
        <w:t>分钟，计时到</w:t>
      </w:r>
      <w:r>
        <w:rPr>
          <w:rFonts w:hint="eastAsia" w:ascii="仿宋_GB2312" w:hAnsi="Times New Roman" w:eastAsia="仿宋_GB2312" w:cs="仿宋_GB2312"/>
          <w:color w:val="000000" w:themeColor="text1"/>
          <w:spacing w:val="-6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Times New Roman" w:eastAsia="仿宋_GB2312" w:cs="仿宋_GB2312"/>
          <w:color w:val="000000" w:themeColor="text1"/>
          <w:spacing w:val="-6"/>
          <w:sz w:val="28"/>
          <w:szCs w:val="28"/>
          <w14:textFill>
            <w14:solidFill>
              <w14:schemeClr w14:val="tx1"/>
            </w14:solidFill>
          </w14:textFill>
        </w:rPr>
        <w:t>分30秒时，裁判提醒“剩余30秒”；</w:t>
      </w:r>
      <w:r>
        <w:rPr>
          <w:rFonts w:hint="default" w:ascii="仿宋_GB2312" w:hAnsi="Times New Roman" w:eastAsia="仿宋_GB2312" w:cs="仿宋_GB2312"/>
          <w:b w:val="0"/>
          <w:color w:val="000000" w:themeColor="text1"/>
          <w:spacing w:val="-6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超过3</w:t>
      </w:r>
      <w:r>
        <w:rPr>
          <w:rFonts w:hint="default" w:ascii="仿宋_GB2312" w:hAnsi="Times New Roman" w:eastAsia="仿宋_GB2312" w:cs="仿宋_GB2312"/>
          <w:b w:val="0"/>
          <w:color w:val="000000" w:themeColor="text1"/>
          <w:spacing w:val="-6"/>
          <w:sz w:val="28"/>
          <w:szCs w:val="28"/>
          <w14:textFill>
            <w14:solidFill>
              <w14:schemeClr w14:val="tx1"/>
            </w14:solidFill>
          </w14:textFill>
        </w:rPr>
        <w:t>分钟</w:t>
      </w:r>
      <w:r>
        <w:rPr>
          <w:rFonts w:hint="default" w:ascii="仿宋_GB2312" w:hAnsi="Times New Roman" w:eastAsia="仿宋_GB2312" w:cs="仿宋_GB2312"/>
          <w:b w:val="0"/>
          <w:color w:val="000000" w:themeColor="text1"/>
          <w:spacing w:val="-6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后，将按评分规则进行扣分；</w:t>
      </w:r>
      <w:r>
        <w:rPr>
          <w:rFonts w:hint="eastAsia" w:ascii="仿宋_GB2312" w:hAnsi="Times New Roman" w:eastAsia="仿宋_GB2312" w:cs="仿宋_GB2312"/>
          <w:color w:val="000000" w:themeColor="text1"/>
          <w:spacing w:val="-6"/>
          <w:sz w:val="28"/>
          <w:szCs w:val="28"/>
          <w14:textFill>
            <w14:solidFill>
              <w14:schemeClr w14:val="tx1"/>
            </w14:solidFill>
          </w14:textFill>
        </w:rPr>
        <w:t>计时到</w:t>
      </w:r>
      <w:r>
        <w:rPr>
          <w:rFonts w:hint="eastAsia" w:ascii="仿宋_GB2312" w:hAnsi="Times New Roman" w:eastAsia="仿宋_GB2312" w:cs="仿宋_GB2312"/>
          <w:color w:val="000000" w:themeColor="text1"/>
          <w:spacing w:val="-6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Times New Roman" w:eastAsia="仿宋_GB2312" w:cs="仿宋_GB2312"/>
          <w:color w:val="000000" w:themeColor="text1"/>
          <w:spacing w:val="-6"/>
          <w:sz w:val="28"/>
          <w:szCs w:val="28"/>
          <w14:textFill>
            <w14:solidFill>
              <w14:schemeClr w14:val="tx1"/>
            </w14:solidFill>
          </w14:textFill>
        </w:rPr>
        <w:t>分钟时，裁判强制终止答辩，未完成部分不计分。</w:t>
      </w:r>
    </w:p>
    <w:p w14:paraId="790088C2">
      <w:pPr>
        <w:pStyle w:val="25"/>
        <w:numPr>
          <w:ilvl w:val="0"/>
          <w:numId w:val="0"/>
        </w:numPr>
        <w:snapToGrid/>
        <w:spacing w:before="0" w:beforeAutospacing="0" w:after="0" w:afterAutospacing="0" w:line="600" w:lineRule="exact"/>
        <w:ind w:left="0" w:leftChars="0" w:right="0" w:rightChars="0" w:firstLine="560" w:firstLineChars="200"/>
        <w:jc w:val="left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②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演讲结束后，选手需向裁判报告“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答辩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完毕”，计时截止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经裁判同意后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方可离开赛点。</w:t>
      </w:r>
    </w:p>
    <w:p w14:paraId="4E0B80C1">
      <w:pPr>
        <w:pStyle w:val="25"/>
        <w:numPr>
          <w:ilvl w:val="-1"/>
          <w:numId w:val="0"/>
        </w:numPr>
        <w:snapToGrid/>
        <w:spacing w:before="0" w:beforeAutospacing="0" w:after="0" w:afterAutospacing="0" w:line="600" w:lineRule="exact"/>
        <w:ind w:left="0" w:leftChars="0" w:right="0" w:rightChars="0" w:firstLine="560" w:firstLineChars="200"/>
        <w:jc w:val="left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③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答辩需采用口述形式，语言简洁、条理清晰</w:t>
      </w:r>
      <w:r>
        <w:rPr>
          <w:rFonts w:hint="eastAsia" w:ascii="仿宋_GB2312" w:hAnsi="Times New Roman" w:eastAsia="仿宋_GB2312" w:cs="仿宋_GB2312"/>
          <w:b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77EB0224">
      <w:pPr>
        <w:pStyle w:val="25"/>
        <w:numPr>
          <w:ilvl w:val="-1"/>
          <w:numId w:val="0"/>
        </w:numPr>
        <w:snapToGrid/>
        <w:spacing w:before="0" w:beforeAutospacing="0" w:after="0" w:afterAutospacing="0" w:line="600" w:lineRule="exact"/>
        <w:ind w:left="482" w:leftChars="0" w:right="0" w:rightChars="0" w:firstLine="0" w:firstLineChars="0"/>
        <w:jc w:val="left"/>
        <w:outlineLvl w:val="3"/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（4）违规处理</w:t>
      </w:r>
    </w:p>
    <w:p w14:paraId="3C0E16EB">
      <w:pPr>
        <w:pStyle w:val="25"/>
        <w:numPr>
          <w:ilvl w:val="1"/>
          <w:numId w:val="0"/>
        </w:numPr>
        <w:snapToGrid/>
        <w:spacing w:before="0" w:beforeAutospacing="0" w:after="0" w:afterAutospacing="0" w:line="600" w:lineRule="exact"/>
        <w:ind w:left="0" w:leftChars="0" w:right="0" w:rightChars="0" w:firstLine="482" w:firstLineChars="0"/>
        <w:jc w:val="left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①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答辩过程中，选手提及企业名称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和姓名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的，扣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分/次；</w:t>
      </w:r>
    </w:p>
    <w:p w14:paraId="359D0283">
      <w:pPr>
        <w:pStyle w:val="25"/>
        <w:numPr>
          <w:ilvl w:val="1"/>
          <w:numId w:val="0"/>
        </w:numPr>
        <w:snapToGrid/>
        <w:spacing w:before="0" w:beforeAutospacing="0" w:after="0" w:afterAutospacing="0" w:line="600" w:lineRule="exact"/>
        <w:ind w:left="0" w:leftChars="0" w:right="0" w:rightChars="0" w:firstLine="482" w:firstLineChars="0"/>
        <w:jc w:val="left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②</w:t>
      </w:r>
      <w:r>
        <w:rPr>
          <w:rFonts w:hint="eastAsia" w:ascii="仿宋_GB2312" w:hAnsi="Times New Roman" w:eastAsia="仿宋_GB2312" w:cs="仿宋_GB2312"/>
          <w:b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答辩时长</w:t>
      </w:r>
      <w:r>
        <w:rPr>
          <w:rFonts w:hint="eastAsia" w:ascii="仿宋_GB2312" w:hAnsi="Times New Roman" w:eastAsia="仿宋_GB2312" w:cs="仿宋_GB2312"/>
          <w:b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超过3</w:t>
      </w:r>
      <w:r>
        <w:rPr>
          <w:rFonts w:hint="eastAsia" w:ascii="仿宋_GB2312" w:hAnsi="Times New Roman" w:eastAsia="仿宋_GB2312" w:cs="仿宋_GB2312"/>
          <w:b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分钟</w:t>
      </w:r>
      <w:r>
        <w:rPr>
          <w:rFonts w:hint="eastAsia" w:ascii="仿宋_GB2312" w:hAnsi="Times New Roman" w:eastAsia="仿宋_GB2312" w:cs="仿宋_GB2312"/>
          <w:b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后，每超出10秒扣1分，不足10秒按10秒计，超过4分钟强制终止。</w:t>
      </w:r>
    </w:p>
    <w:p w14:paraId="6B7DDAB9">
      <w:pPr>
        <w:pStyle w:val="25"/>
        <w:numPr>
          <w:ilvl w:val="1"/>
          <w:numId w:val="0"/>
        </w:numPr>
        <w:snapToGrid/>
        <w:spacing w:before="0" w:beforeAutospacing="0" w:after="0" w:afterAutospacing="0" w:line="600" w:lineRule="exact"/>
        <w:ind w:left="0" w:leftChars="0" w:right="0" w:rightChars="0" w:firstLine="482" w:firstLineChars="0"/>
        <w:jc w:val="left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③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准备期间与他人交流、查阅电子设备的，经裁判确认后，取消本项竞赛资格，成绩按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分计；</w:t>
      </w:r>
    </w:p>
    <w:p w14:paraId="4454E809">
      <w:pPr>
        <w:pStyle w:val="25"/>
        <w:numPr>
          <w:ilvl w:val="1"/>
          <w:numId w:val="0"/>
        </w:numPr>
        <w:snapToGrid/>
        <w:spacing w:before="0" w:beforeAutospacing="0" w:after="0" w:afterAutospacing="0" w:line="600" w:lineRule="exact"/>
        <w:ind w:left="0" w:leftChars="0" w:right="0" w:rightChars="0" w:firstLine="482" w:firstLineChars="0"/>
        <w:jc w:val="left"/>
        <w:outlineLvl w:val="9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Times New Roman" w:eastAsia="仿宋_GB2312" w:cs="仿宋_GB2312"/>
          <w:b w:val="0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④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分钟内未开始答辩或答辩内容与试题无关（如未识别任何缺陷/隐患）的，成绩按0分计；</w:t>
      </w:r>
    </w:p>
    <w:p w14:paraId="30FE49E3">
      <w:pPr>
        <w:pStyle w:val="25"/>
        <w:numPr>
          <w:ilvl w:val="1"/>
          <w:numId w:val="0"/>
        </w:numPr>
        <w:snapToGrid/>
        <w:spacing w:before="0" w:beforeAutospacing="0" w:after="0" w:afterAutospacing="0" w:line="600" w:lineRule="exact"/>
        <w:ind w:left="0" w:leftChars="0" w:right="0" w:rightChars="0" w:firstLine="482" w:firstLineChars="0"/>
        <w:jc w:val="left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⑤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故意损坏竞赛设备（如摔砸抽签箱）的，取消全部竞赛资格，并由所在企业承担设备维修费用。</w:t>
      </w:r>
    </w:p>
    <w:p w14:paraId="3CA397BF">
      <w:pPr>
        <w:pStyle w:val="25"/>
        <w:numPr>
          <w:ilvl w:val="-1"/>
          <w:numId w:val="0"/>
        </w:numPr>
        <w:snapToGrid/>
        <w:spacing w:before="0" w:beforeAutospacing="0" w:after="0" w:afterAutospacing="0" w:line="600" w:lineRule="exact"/>
        <w:ind w:left="482" w:leftChars="0" w:right="0" w:rightChars="0" w:firstLine="0" w:firstLineChars="0"/>
        <w:jc w:val="left"/>
        <w:outlineLvl w:val="3"/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（5）评分规则</w:t>
      </w:r>
    </w:p>
    <w:p w14:paraId="3703E6E6">
      <w:pPr>
        <w:pStyle w:val="25"/>
        <w:numPr>
          <w:ilvl w:val="0"/>
          <w:numId w:val="0"/>
        </w:numPr>
        <w:snapToGrid/>
        <w:spacing w:before="0" w:beforeAutospacing="0" w:after="0" w:afterAutospacing="0" w:line="600" w:lineRule="exact"/>
        <w:ind w:left="0" w:leftChars="0" w:right="0" w:rightChars="0" w:firstLine="482" w:firstLineChars="0"/>
        <w:jc w:val="left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本项竞赛根据参赛选手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对影像资料中的问题回答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，由裁判按照评分规则打分；满分100分，综合成绩占比30%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6C125C4E">
      <w:pPr>
        <w:spacing w:line="600" w:lineRule="exact"/>
        <w:outlineLvl w:val="9"/>
        <w:rPr>
          <w:rFonts w:hint="eastAsia" w:ascii="仿宋_GB2312" w:hAnsi="Times New Roman" w:eastAsia="仿宋_GB2312" w:cs="仿宋_GB2312"/>
          <w:b w:val="0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sectPr>
          <w:pgSz w:w="11906" w:h="16838"/>
          <w:pgMar w:top="1440" w:right="1440" w:bottom="1440" w:left="1440" w:header="708" w:footer="708" w:gutter="0"/>
          <w:pgNumType w:fmt="decimal"/>
          <w:cols w:space="720" w:num="1"/>
          <w:docGrid w:linePitch="360" w:charSpace="0"/>
        </w:sectPr>
      </w:pPr>
    </w:p>
    <w:p w14:paraId="1A5930D0">
      <w:pPr>
        <w:pStyle w:val="25"/>
        <w:numPr>
          <w:ilvl w:val="-1"/>
          <w:numId w:val="0"/>
        </w:numPr>
        <w:ind w:left="0" w:leftChars="0" w:firstLine="562" w:firstLineChars="200"/>
        <w:outlineLvl w:val="2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bookmarkStart w:id="50" w:name="_Toc7985"/>
      <w:bookmarkStart w:id="51" w:name="_Toc21549"/>
      <w:bookmarkStart w:id="52" w:name="_Toc17548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5.现场答辩评分规则及评分表</w:t>
      </w:r>
      <w:bookmarkEnd w:id="50"/>
      <w:bookmarkEnd w:id="51"/>
      <w:bookmarkEnd w:id="52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 xml:space="preserve">                  </w:t>
      </w:r>
    </w:p>
    <w:p w14:paraId="72ED7F34">
      <w:pPr>
        <w:pStyle w:val="25"/>
        <w:numPr>
          <w:ilvl w:val="0"/>
          <w:numId w:val="0"/>
        </w:numPr>
        <w:spacing w:before="0" w:after="0" w:line="560" w:lineRule="exact"/>
        <w:ind w:left="482" w:firstLine="240" w:firstLineChars="100"/>
        <w:jc w:val="center"/>
        <w:rPr>
          <w:rFonts w:hint="eastAsia" w:ascii="仿宋" w:eastAsia="仿宋"/>
          <w:sz w:val="24"/>
          <w:lang w:val="en-US" w:eastAsia="zh-CN"/>
        </w:rPr>
      </w:pPr>
      <w:r>
        <w:rPr>
          <w:rFonts w:hint="eastAsia" w:ascii="仿宋" w:eastAsia="仿宋" w:cs="Arial"/>
          <w:sz w:val="24"/>
          <w:szCs w:val="22"/>
          <w:lang w:val="en-US" w:eastAsia="zh-CN"/>
        </w:rPr>
        <w:t xml:space="preserve">                            </w:t>
      </w:r>
      <w:r>
        <w:rPr>
          <w:rFonts w:hint="default" w:ascii="仿宋" w:hAnsi="Arial" w:eastAsia="仿宋" w:cs="Arial"/>
          <w:sz w:val="24"/>
          <w:szCs w:val="22"/>
          <w:lang w:val="en-US" w:eastAsia="zh-CN"/>
        </w:rPr>
        <w:t>赛点号</w:t>
      </w:r>
      <w:r>
        <w:rPr>
          <w:rFonts w:hint="eastAsia" w:ascii="仿宋" w:eastAsia="仿宋"/>
          <w:sz w:val="24"/>
          <w:lang w:val="en-US" w:eastAsia="zh-CN"/>
        </w:rPr>
        <w:t>：</w:t>
      </w:r>
      <w:r>
        <w:rPr>
          <w:rFonts w:hint="eastAsia" w:ascii="仿宋" w:eastAsia="仿宋"/>
          <w:sz w:val="24"/>
          <w:u w:val="single"/>
          <w:lang w:val="en-US" w:eastAsia="zh-CN"/>
        </w:rPr>
        <w:t xml:space="preserve">          </w:t>
      </w:r>
      <w:r>
        <w:rPr>
          <w:rFonts w:hint="default" w:ascii="仿宋" w:eastAsia="仿宋"/>
          <w:sz w:val="24"/>
          <w:u w:val="none"/>
          <w:lang w:val="en-US" w:eastAsia="zh-CN"/>
        </w:rPr>
        <w:t xml:space="preserve">        </w:t>
      </w:r>
    </w:p>
    <w:p w14:paraId="42CD83F6">
      <w:pPr>
        <w:pStyle w:val="25"/>
        <w:numPr>
          <w:ilvl w:val="0"/>
          <w:numId w:val="0"/>
        </w:numPr>
        <w:snapToGrid/>
        <w:spacing w:before="0" w:beforeAutospacing="0" w:after="0" w:afterAutospacing="0" w:line="560" w:lineRule="exact"/>
        <w:ind w:left="0" w:right="0" w:rightChars="0" w:firstLine="789" w:firstLineChars="329"/>
        <w:jc w:val="left"/>
        <w:rPr>
          <w:rFonts w:ascii="仿宋" w:eastAsia="仿宋"/>
          <w:sz w:val="24"/>
        </w:rPr>
      </w:pPr>
      <w:r>
        <w:rPr>
          <w:rFonts w:hint="eastAsia" w:ascii="仿宋" w:eastAsia="仿宋"/>
          <w:sz w:val="24"/>
          <w:lang w:val="en-US" w:eastAsia="zh-CN"/>
        </w:rPr>
        <w:t>参赛选手编号：</w:t>
      </w:r>
      <w:r>
        <w:rPr>
          <w:rFonts w:hint="eastAsia" w:ascii="仿宋" w:eastAsia="仿宋"/>
          <w:sz w:val="24"/>
          <w:u w:val="single"/>
          <w:lang w:val="en-US" w:eastAsia="zh-CN"/>
        </w:rPr>
        <w:t xml:space="preserve">                  </w:t>
      </w:r>
      <w:r>
        <w:rPr>
          <w:rFonts w:hint="eastAsia" w:ascii="仿宋" w:eastAsia="仿宋"/>
          <w:sz w:val="24"/>
          <w:u w:val="none"/>
          <w:lang w:val="en-US" w:eastAsia="zh-CN"/>
        </w:rPr>
        <w:t xml:space="preserve">    </w:t>
      </w:r>
      <w:r>
        <w:rPr>
          <w:rFonts w:hint="default" w:ascii="仿宋" w:eastAsia="仿宋"/>
          <w:sz w:val="24"/>
          <w:lang w:val="en-US" w:eastAsia="zh-CN"/>
        </w:rPr>
        <w:t>试题编号</w:t>
      </w:r>
      <w:r>
        <w:rPr>
          <w:rFonts w:hint="eastAsia" w:ascii="仿宋" w:eastAsia="仿宋"/>
          <w:sz w:val="24"/>
          <w:lang w:val="en-US" w:eastAsia="zh-CN"/>
        </w:rPr>
        <w:t>：</w:t>
      </w:r>
      <w:r>
        <w:rPr>
          <w:rFonts w:hint="eastAsia" w:ascii="仿宋" w:eastAsia="仿宋"/>
          <w:sz w:val="24"/>
          <w:u w:val="single"/>
          <w:lang w:val="en-US" w:eastAsia="zh-CN"/>
        </w:rPr>
        <w:t xml:space="preserve">                </w:t>
      </w:r>
      <w:r>
        <w:rPr>
          <w:rFonts w:hint="default" w:ascii="仿宋" w:eastAsia="仿宋"/>
          <w:sz w:val="24"/>
          <w:u w:val="none"/>
          <w:lang w:val="en-US" w:eastAsia="zh-CN"/>
        </w:rPr>
        <w:t xml:space="preserve">         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</w:t>
      </w:r>
      <w:r>
        <w:rPr>
          <w:rFonts w:hint="eastAsia" w:ascii="仿宋" w:eastAsia="仿宋"/>
          <w:sz w:val="24"/>
          <w:u w:val="none"/>
          <w:lang w:val="en-US" w:eastAsia="zh-CN"/>
        </w:rPr>
        <w:t xml:space="preserve">       </w:t>
      </w:r>
    </w:p>
    <w:tbl>
      <w:tblPr>
        <w:tblStyle w:val="18"/>
        <w:tblW w:w="756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32" w:type="dxa"/>
          <w:left w:w="64" w:type="dxa"/>
          <w:bottom w:w="32" w:type="dxa"/>
          <w:right w:w="64" w:type="dxa"/>
        </w:tblCellMar>
      </w:tblPr>
      <w:tblGrid>
        <w:gridCol w:w="2720"/>
        <w:gridCol w:w="2235"/>
        <w:gridCol w:w="1314"/>
        <w:gridCol w:w="1296"/>
      </w:tblGrid>
      <w:tr w14:paraId="591FDD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tblHeader/>
          <w:jc w:val="center"/>
        </w:trPr>
        <w:tc>
          <w:tcPr>
            <w:tcW w:w="2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</w:tcBorders>
            <w:shd w:val="clear" w:color="auto" w:fill="FFFFFF"/>
            <w:vAlign w:val="center"/>
          </w:tcPr>
          <w:p w14:paraId="2998EC7B">
            <w:pPr>
              <w:tabs>
                <w:tab w:val="left" w:pos="2685"/>
              </w:tabs>
              <w:spacing w:line="400" w:lineRule="exact"/>
              <w:jc w:val="center"/>
              <w:rPr>
                <w:rFonts w:hint="eastAsia" w:ascii="黑体" w:hAnsi="黑体" w:eastAsia="黑体" w:cstheme="minorBidi"/>
                <w:b w:val="0"/>
                <w:sz w:val="24"/>
                <w:szCs w:val="22"/>
                <w:lang w:eastAsia="zh-CN"/>
              </w:rPr>
            </w:pPr>
            <w:r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  <w:t>分值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D4C4E5">
            <w:pPr>
              <w:tabs>
                <w:tab w:val="left" w:pos="2685"/>
              </w:tabs>
              <w:spacing w:line="400" w:lineRule="exact"/>
              <w:jc w:val="center"/>
              <w:rPr>
                <w:rFonts w:hint="eastAsia" w:ascii="黑体" w:hAnsi="黑体" w:eastAsia="黑体" w:cstheme="minorBidi"/>
                <w:b w:val="0"/>
                <w:sz w:val="24"/>
                <w:szCs w:val="22"/>
                <w:lang w:eastAsia="zh-CN"/>
              </w:rPr>
            </w:pPr>
            <w:r>
              <w:rPr>
                <w:rFonts w:hint="eastAsia" w:ascii="黑体" w:hAnsi="黑体" w:eastAsia="黑体" w:cstheme="minorBidi"/>
                <w:b w:val="0"/>
                <w:sz w:val="24"/>
                <w:szCs w:val="22"/>
                <w:lang w:eastAsia="zh-CN"/>
              </w:rPr>
              <w:t>评分内容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98E739A">
            <w:pPr>
              <w:tabs>
                <w:tab w:val="left" w:pos="2685"/>
              </w:tabs>
              <w:spacing w:line="400" w:lineRule="exact"/>
              <w:jc w:val="center"/>
              <w:rPr>
                <w:rFonts w:hint="eastAsia" w:ascii="黑体" w:hAnsi="黑体" w:eastAsia="黑体" w:cstheme="minorBidi"/>
                <w:b w:val="0"/>
                <w:sz w:val="24"/>
                <w:szCs w:val="22"/>
                <w:lang w:eastAsia="zh-CN"/>
              </w:rPr>
            </w:pPr>
            <w:r>
              <w:rPr>
                <w:rFonts w:hint="eastAsia" w:ascii="黑体" w:hAnsi="黑体" w:eastAsia="黑体" w:cstheme="minorBidi"/>
                <w:b w:val="0"/>
                <w:sz w:val="24"/>
                <w:szCs w:val="22"/>
                <w:lang w:eastAsia="zh-CN"/>
              </w:rPr>
              <w:t>分值范围</w:t>
            </w:r>
          </w:p>
          <w:p w14:paraId="12C3E1F3">
            <w:pPr>
              <w:tabs>
                <w:tab w:val="left" w:pos="2685"/>
              </w:tabs>
              <w:spacing w:line="400" w:lineRule="exact"/>
              <w:jc w:val="both"/>
              <w:rPr>
                <w:rFonts w:hint="eastAsia" w:ascii="黑体" w:hAnsi="黑体" w:eastAsia="黑体" w:cstheme="minorBidi"/>
                <w:b w:val="0"/>
                <w:sz w:val="24"/>
                <w:szCs w:val="22"/>
                <w:lang w:eastAsia="zh-CN"/>
              </w:rPr>
            </w:pPr>
            <w:r>
              <w:rPr>
                <w:rFonts w:hint="eastAsia" w:ascii="黑体" w:hAnsi="黑体" w:eastAsia="黑体" w:cstheme="minorBidi"/>
                <w:b w:val="0"/>
                <w:sz w:val="24"/>
                <w:szCs w:val="22"/>
                <w:lang w:eastAsia="zh-CN"/>
              </w:rPr>
              <w:t>（100分）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B0D8AE">
            <w:pPr>
              <w:tabs>
                <w:tab w:val="left" w:pos="2685"/>
              </w:tabs>
              <w:spacing w:line="400" w:lineRule="exact"/>
              <w:jc w:val="center"/>
              <w:rPr>
                <w:rFonts w:hint="eastAsia" w:ascii="黑体" w:hAnsi="黑体" w:eastAsia="黑体" w:cstheme="minorBidi"/>
                <w:b w:val="0"/>
                <w:sz w:val="24"/>
                <w:szCs w:val="22"/>
                <w:lang w:eastAsia="zh-CN"/>
              </w:rPr>
            </w:pPr>
            <w:r>
              <w:rPr>
                <w:rFonts w:hint="eastAsia" w:ascii="黑体" w:hAnsi="黑体" w:eastAsia="黑体" w:cstheme="minorBidi"/>
                <w:b w:val="0"/>
                <w:sz w:val="24"/>
                <w:szCs w:val="22"/>
                <w:lang w:eastAsia="zh-CN"/>
              </w:rPr>
              <w:t>裁判评分</w:t>
            </w:r>
          </w:p>
        </w:tc>
      </w:tr>
      <w:tr w14:paraId="53168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972" w:hRule="atLeast"/>
          <w:jc w:val="center"/>
        </w:trPr>
        <w:tc>
          <w:tcPr>
            <w:tcW w:w="2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D273895">
            <w:pPr>
              <w:tabs>
                <w:tab w:val="left" w:pos="2685"/>
              </w:tabs>
              <w:spacing w:line="400" w:lineRule="exact"/>
              <w:jc w:val="center"/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  <w:t>问题识别</w:t>
            </w:r>
          </w:p>
          <w:p w14:paraId="5DDEE06F">
            <w:pPr>
              <w:tabs>
                <w:tab w:val="left" w:pos="2685"/>
              </w:tabs>
              <w:spacing w:line="400" w:lineRule="exact"/>
              <w:jc w:val="center"/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  <w:t>（40分）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FDF5C7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准确指出影像资料中的质量缺陷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安全隐患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56AB86C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40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分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5A387E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</w:p>
        </w:tc>
      </w:tr>
      <w:tr w14:paraId="3653CD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2210" w:hRule="atLeast"/>
          <w:jc w:val="center"/>
        </w:trPr>
        <w:tc>
          <w:tcPr>
            <w:tcW w:w="272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0807B1">
            <w:pPr>
              <w:tabs>
                <w:tab w:val="left" w:pos="2685"/>
              </w:tabs>
              <w:spacing w:line="400" w:lineRule="exact"/>
              <w:jc w:val="center"/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  <w:t>问题分析处理</w:t>
            </w:r>
          </w:p>
          <w:p w14:paraId="77B8F909">
            <w:pPr>
              <w:tabs>
                <w:tab w:val="left" w:pos="2685"/>
              </w:tabs>
              <w:spacing w:line="400" w:lineRule="exact"/>
              <w:jc w:val="center"/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  <w:t>（40分）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1A70A4D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color w:val="auto"/>
                <w:sz w:val="21"/>
                <w:szCs w:val="21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b w:val="0"/>
                <w:color w:val="auto"/>
                <w:sz w:val="21"/>
                <w:szCs w:val="21"/>
              </w:rPr>
              <w:t>质量缺陷原因</w:t>
            </w:r>
            <w:r>
              <w:rPr>
                <w:rFonts w:hint="eastAsia" w:ascii="仿宋" w:hAnsi="仿宋" w:eastAsia="仿宋" w:cs="仿宋"/>
                <w:b w:val="0"/>
                <w:color w:val="auto"/>
                <w:sz w:val="21"/>
                <w:szCs w:val="21"/>
                <w:lang w:val="en-US" w:eastAsia="zh-CN"/>
              </w:rPr>
              <w:t>分析合理，处理方法准确，</w:t>
            </w:r>
            <w:r>
              <w:rPr>
                <w:rFonts w:hint="eastAsia" w:ascii="仿宋" w:hAnsi="仿宋" w:eastAsia="仿宋" w:cs="仿宋"/>
                <w:b w:val="0"/>
                <w:color w:val="auto"/>
                <w:sz w:val="21"/>
                <w:szCs w:val="21"/>
              </w:rPr>
              <w:t>贴合工程实际</w:t>
            </w:r>
            <w:r>
              <w:rPr>
                <w:rFonts w:hint="eastAsia" w:ascii="仿宋" w:hAnsi="仿宋" w:eastAsia="仿宋" w:cs="仿宋"/>
                <w:b w:val="0"/>
                <w:color w:val="auto"/>
                <w:sz w:val="21"/>
                <w:szCs w:val="21"/>
                <w:lang w:eastAsia="zh-CN"/>
              </w:rPr>
              <w:t>；</w:t>
            </w:r>
          </w:p>
          <w:p w14:paraId="25F41471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2.风险分析、安全措施的做法正确，贴合工程实际；</w:t>
            </w:r>
          </w:p>
          <w:p w14:paraId="784A4770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（以上二选一）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698331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40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分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4614FF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</w:p>
        </w:tc>
      </w:tr>
      <w:tr w14:paraId="2E4C21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975" w:hRule="atLeast"/>
          <w:jc w:val="center"/>
        </w:trPr>
        <w:tc>
          <w:tcPr>
            <w:tcW w:w="2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CD98621">
            <w:pPr>
              <w:tabs>
                <w:tab w:val="left" w:pos="2685"/>
              </w:tabs>
              <w:spacing w:line="400" w:lineRule="exact"/>
              <w:jc w:val="center"/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  <w:t>监理工作措施</w:t>
            </w:r>
          </w:p>
          <w:p w14:paraId="2395E363">
            <w:pPr>
              <w:tabs>
                <w:tab w:val="left" w:pos="2685"/>
              </w:tabs>
              <w:spacing w:line="400" w:lineRule="exact"/>
              <w:jc w:val="center"/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  <w:t>（20分）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CAF822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监理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指令选择合理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闭合处理；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45D24C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20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分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2FFF8A2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</w:p>
        </w:tc>
      </w:tr>
      <w:tr w14:paraId="28F329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272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C9E41CE">
            <w:pPr>
              <w:tabs>
                <w:tab w:val="left" w:pos="2685"/>
              </w:tabs>
              <w:spacing w:line="400" w:lineRule="exact"/>
              <w:jc w:val="center"/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  <w:t>其他违规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E42AE2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left"/>
              <w:textAlignment w:val="auto"/>
              <w:rPr>
                <w:rFonts w:hint="default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1.答辩时长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eastAsia="zh-CN"/>
              </w:rPr>
              <w:t>。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9920487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超过3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分钟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后，每超出10秒扣1分，不足10秒按10秒计，超过4分钟强制终止。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5A629A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</w:p>
        </w:tc>
      </w:tr>
      <w:tr w14:paraId="247236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272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A4C3F5">
            <w:pPr>
              <w:tabs>
                <w:tab w:val="left" w:pos="2685"/>
              </w:tabs>
              <w:spacing w:line="400" w:lineRule="exact"/>
              <w:jc w:val="center"/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</w:pP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3A0F008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left"/>
              <w:textAlignment w:val="auto"/>
              <w:rPr>
                <w:rFonts w:hint="default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.提及企业名称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企业LOGO、选手姓名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BF381C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-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10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分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EC4FBD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</w:p>
        </w:tc>
      </w:tr>
      <w:tr w14:paraId="6ECD32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272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A99578">
            <w:pPr>
              <w:tabs>
                <w:tab w:val="left" w:pos="2685"/>
              </w:tabs>
              <w:spacing w:line="400" w:lineRule="exact"/>
              <w:jc w:val="center"/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</w:pP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68A9B0A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.准备期间违规交流/查阅设备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8EC0656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成绩无效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4FD185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</w:p>
        </w:tc>
      </w:tr>
      <w:tr w14:paraId="61B5C8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272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68A5C10">
            <w:pPr>
              <w:tabs>
                <w:tab w:val="left" w:pos="2685"/>
              </w:tabs>
              <w:spacing w:line="400" w:lineRule="exact"/>
              <w:jc w:val="center"/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</w:pP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4123259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.答辩内容与试题无关或未识别任何问题</w:t>
            </w: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FAEBBF8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成绩无效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F1C428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</w:p>
        </w:tc>
      </w:tr>
      <w:tr w14:paraId="7339A9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2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0335ECE">
            <w:pPr>
              <w:tabs>
                <w:tab w:val="left" w:pos="2685"/>
              </w:tabs>
              <w:spacing w:line="400" w:lineRule="exact"/>
              <w:jc w:val="center"/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 w:cstheme="minorBidi"/>
                <w:b w:val="0"/>
                <w:sz w:val="24"/>
                <w:szCs w:val="22"/>
                <w:lang w:val="en-US" w:eastAsia="zh-CN"/>
              </w:rPr>
              <w:t>合计得分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A6A08E0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</w:p>
        </w:tc>
        <w:tc>
          <w:tcPr>
            <w:tcW w:w="13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5CFA52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  <w:t>100分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D23D870">
            <w:pPr>
              <w:pStyle w:val="25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after="0" w:line="24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color w:val="000000"/>
                <w:sz w:val="21"/>
                <w:szCs w:val="21"/>
              </w:rPr>
            </w:pPr>
          </w:p>
        </w:tc>
      </w:tr>
    </w:tbl>
    <w:p w14:paraId="7E393926">
      <w:pPr>
        <w:pStyle w:val="25"/>
        <w:snapToGrid/>
        <w:spacing w:before="0" w:beforeAutospacing="0" w:after="0" w:afterAutospacing="0" w:line="560" w:lineRule="exact"/>
        <w:ind w:left="0" w:leftChars="0" w:right="0" w:rightChars="0" w:firstLine="789" w:firstLineChars="329"/>
        <w:jc w:val="left"/>
        <w:rPr>
          <w:rFonts w:ascii="仿宋" w:eastAsia="仿宋"/>
          <w:sz w:val="24"/>
        </w:rPr>
      </w:pPr>
      <w:r>
        <w:rPr>
          <w:rFonts w:ascii="仿宋" w:eastAsia="仿宋"/>
          <w:sz w:val="24"/>
        </w:rPr>
        <w:t>备注：裁判评分精确至小数点后1位。</w:t>
      </w:r>
    </w:p>
    <w:p w14:paraId="66207362">
      <w:pPr>
        <w:pStyle w:val="2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789" w:firstLineChars="329"/>
        <w:jc w:val="left"/>
        <w:textAlignment w:val="auto"/>
        <w:rPr>
          <w:rFonts w:hint="eastAsia" w:ascii="仿宋" w:eastAsia="仿宋"/>
          <w:sz w:val="24"/>
          <w:u w:val="single"/>
          <w:lang w:val="en-US" w:eastAsia="zh-CN"/>
        </w:rPr>
      </w:pPr>
      <w:r>
        <w:rPr>
          <w:rFonts w:hint="eastAsia" w:ascii="仿宋" w:eastAsia="仿宋"/>
          <w:sz w:val="24"/>
        </w:rPr>
        <w:t>答辩时长</w:t>
      </w:r>
      <w:r>
        <w:rPr>
          <w:rFonts w:ascii="仿宋" w:eastAsia="仿宋"/>
          <w:sz w:val="24"/>
        </w:rPr>
        <w:t>：</w:t>
      </w:r>
      <w:r>
        <w:rPr>
          <w:rFonts w:hint="eastAsia" w:ascii="仿宋" w:hAnsi="仿宋" w:eastAsia="仿宋" w:cs="仿宋"/>
          <w:b/>
          <w:sz w:val="28"/>
          <w:szCs w:val="28"/>
          <w:u w:val="single"/>
        </w:rPr>
        <w:t xml:space="preserve">        </w:t>
      </w:r>
      <w:r>
        <w:rPr>
          <w:rFonts w:hint="eastAsia" w:ascii="仿宋" w:hAnsi="仿宋" w:eastAsia="仿宋" w:cs="仿宋"/>
          <w:b/>
          <w:color w:val="000000"/>
          <w:kern w:val="0"/>
          <w:sz w:val="24"/>
          <w:u w:val="single"/>
        </w:rPr>
        <w:t>′</w:t>
      </w:r>
      <w:r>
        <w:rPr>
          <w:rFonts w:hint="eastAsia" w:ascii="仿宋" w:hAnsi="仿宋" w:eastAsia="仿宋" w:cs="仿宋"/>
          <w:b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b/>
          <w:color w:val="000000"/>
          <w:kern w:val="0"/>
          <w:sz w:val="24"/>
          <w:u w:val="single"/>
        </w:rPr>
        <w:t>″</w:t>
      </w:r>
      <w:r>
        <w:rPr>
          <w:rFonts w:hint="eastAsia" w:ascii="仿宋" w:hAnsi="仿宋" w:eastAsia="仿宋" w:cs="仿宋"/>
          <w:b/>
          <w:sz w:val="28"/>
          <w:szCs w:val="28"/>
          <w:u w:val="single"/>
        </w:rPr>
        <w:t xml:space="preserve">  </w:t>
      </w:r>
    </w:p>
    <w:p w14:paraId="22788E82">
      <w:pPr>
        <w:pStyle w:val="2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1507" w:firstLineChars="628"/>
        <w:jc w:val="left"/>
        <w:textAlignment w:val="auto"/>
        <w:rPr>
          <w:rFonts w:ascii="仿宋" w:eastAsia="仿宋"/>
          <w:sz w:val="24"/>
        </w:rPr>
      </w:pPr>
      <w:r>
        <w:rPr>
          <w:rFonts w:ascii="仿宋" w:eastAsia="仿宋"/>
          <w:sz w:val="24"/>
        </w:rPr>
        <w:t>裁判签字：</w:t>
      </w:r>
      <w:r>
        <w:rPr>
          <w:rFonts w:hint="eastAsia" w:ascii="仿宋" w:eastAsia="仿宋"/>
          <w:sz w:val="24"/>
          <w:u w:val="single"/>
          <w:lang w:val="en-US" w:eastAsia="zh-CN"/>
        </w:rPr>
        <w:t xml:space="preserve">                               </w:t>
      </w:r>
      <w:r>
        <w:rPr>
          <w:rFonts w:hint="eastAsia" w:ascii="仿宋" w:eastAsia="仿宋"/>
          <w:sz w:val="24"/>
          <w:lang w:val="en-US" w:eastAsia="zh-CN"/>
        </w:rPr>
        <w:t xml:space="preserve">                                 </w:t>
      </w:r>
    </w:p>
    <w:p w14:paraId="3A6F8A44">
      <w:pPr>
        <w:pStyle w:val="2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1507" w:firstLineChars="628"/>
        <w:jc w:val="left"/>
        <w:textAlignment w:val="auto"/>
        <w:rPr>
          <w:rFonts w:hint="eastAsia" w:ascii="仿宋" w:eastAsia="仿宋"/>
          <w:sz w:val="24"/>
          <w:lang w:val="en-US" w:eastAsia="zh-CN"/>
        </w:rPr>
      </w:pPr>
      <w:r>
        <w:rPr>
          <w:rFonts w:hint="eastAsia" w:ascii="仿宋" w:eastAsia="仿宋"/>
          <w:sz w:val="24"/>
          <w:lang w:val="en-US" w:eastAsia="zh-CN"/>
        </w:rPr>
        <w:t>赛区</w:t>
      </w:r>
      <w:r>
        <w:rPr>
          <w:rFonts w:ascii="仿宋" w:eastAsia="仿宋"/>
          <w:sz w:val="24"/>
        </w:rPr>
        <w:t>裁判</w:t>
      </w:r>
      <w:r>
        <w:rPr>
          <w:rFonts w:hint="eastAsia" w:ascii="仿宋" w:eastAsia="仿宋"/>
          <w:sz w:val="24"/>
          <w:lang w:val="en-US" w:eastAsia="zh-CN"/>
        </w:rPr>
        <w:t>长</w:t>
      </w:r>
      <w:r>
        <w:rPr>
          <w:rFonts w:ascii="仿宋" w:eastAsia="仿宋"/>
          <w:sz w:val="24"/>
        </w:rPr>
        <w:t>签字：</w:t>
      </w:r>
      <w:r>
        <w:rPr>
          <w:rFonts w:hint="eastAsia" w:ascii="仿宋" w:eastAsia="仿宋"/>
          <w:sz w:val="24"/>
          <w:u w:val="single"/>
          <w:lang w:val="en-US" w:eastAsia="zh-CN"/>
        </w:rPr>
        <w:t xml:space="preserve">                    </w:t>
      </w:r>
      <w:r>
        <w:rPr>
          <w:rFonts w:hint="eastAsia" w:ascii="仿宋" w:eastAsia="仿宋"/>
          <w:sz w:val="24"/>
          <w:lang w:val="en-US" w:eastAsia="zh-CN"/>
        </w:rPr>
        <w:t xml:space="preserve">          </w:t>
      </w:r>
    </w:p>
    <w:p w14:paraId="1E1CBE24">
      <w:pPr>
        <w:spacing w:before="361" w:beforeLines="100" w:after="361" w:afterLines="100" w:line="600" w:lineRule="exact"/>
        <w:ind w:firstLine="0" w:firstLineChars="0"/>
        <w:jc w:val="center"/>
        <w:outlineLvl w:val="0"/>
        <w:rPr>
          <w:rFonts w:ascii="仿宋_GB2312" w:hAnsi="Times New Roman" w:eastAsia="仿宋_GB2312" w:cs="仿宋_GB2312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bookmarkStart w:id="53" w:name="_Toc26892"/>
      <w:bookmarkStart w:id="54" w:name="_Toc8912"/>
      <w:bookmarkStart w:id="55" w:name="_Toc17240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注意事项</w:t>
      </w:r>
      <w:bookmarkEnd w:id="53"/>
      <w:bookmarkEnd w:id="54"/>
      <w:bookmarkEnd w:id="55"/>
    </w:p>
    <w:p w14:paraId="5F8AA752">
      <w:pPr>
        <w:spacing w:line="600" w:lineRule="exact"/>
        <w:ind w:firstLine="562" w:firstLineChars="200"/>
        <w:outlineLvl w:val="1"/>
        <w:rPr>
          <w:rFonts w:hint="default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bookmarkStart w:id="56" w:name="_Toc23666"/>
      <w:bookmarkStart w:id="57" w:name="_Toc22103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一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安全保障</w:t>
      </w:r>
      <w:bookmarkEnd w:id="56"/>
      <w:bookmarkEnd w:id="57"/>
    </w:p>
    <w:p w14:paraId="4F3333D5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1.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入场安全:所有进入竞赛场地的人员严禁携带易燃、易爆、有毒等危险物品及可能影响竞赛秩序的物品入场。</w:t>
      </w:r>
    </w:p>
    <w:p w14:paraId="7D9ED410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场地标识:竟赛场地将设置明显的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引导和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警示标识，参赛选手及工作人员需留意并遵守相关指示。</w:t>
      </w:r>
    </w:p>
    <w:p w14:paraId="30C3AD8D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紧急疏散:熟悉竞赛场地的紧急疏散通道和集合点，一旦发生紧急情况，请迅速、有序地按照指引进行疏散。</w:t>
      </w:r>
    </w:p>
    <w:p w14:paraId="42047FE6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周边环境:竟赛期间所有人员的车辆应按照要求有序停车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保持场地整洁，不乱扔垃圾，不随意破坏公共设施。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工作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人员须确保周边行人不进入竞赛场地，对竞赛场地进行软隔离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69E9D870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遵守规则:请所有参与人员严格遵守竞赛规则和安全须知，服从主办方和裁判员的指挥和管理。</w:t>
      </w:r>
    </w:p>
    <w:p w14:paraId="0FAB0A98">
      <w:pPr>
        <w:spacing w:line="600" w:lineRule="exact"/>
        <w:ind w:firstLine="562" w:firstLineChars="200"/>
        <w:outlineLvl w:val="1"/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bookmarkStart w:id="58" w:name="_Toc10285"/>
      <w:bookmarkStart w:id="59" w:name="_Toc12354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二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赛场组织</w:t>
      </w:r>
      <w:bookmarkEnd w:id="58"/>
      <w:bookmarkEnd w:id="59"/>
    </w:p>
    <w:p w14:paraId="49D260F8">
      <w:pPr>
        <w:spacing w:line="600" w:lineRule="exact"/>
        <w:ind w:firstLine="560" w:firstLineChars="200"/>
        <w:rPr>
          <w:rFonts w:hint="default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竞赛前一周内，将根据赛场设置、设备布置、竞赛流程等实际情况，发布参赛选手竞赛手册。</w:t>
      </w:r>
    </w:p>
    <w:p w14:paraId="660FBB03">
      <w:pPr>
        <w:spacing w:line="600" w:lineRule="exact"/>
        <w:ind w:firstLine="562" w:firstLineChars="200"/>
        <w:outlineLvl w:val="1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bookmarkStart w:id="60" w:name="_Toc19769"/>
      <w:bookmarkStart w:id="61" w:name="_Toc2077"/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Times New Roman" w:eastAsia="仿宋_GB2312" w:cs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意见反馈</w:t>
      </w:r>
      <w:bookmarkEnd w:id="60"/>
      <w:bookmarkEnd w:id="61"/>
    </w:p>
    <w:p w14:paraId="0B4365D7">
      <w:pPr>
        <w:spacing w:line="600" w:lineRule="exact"/>
        <w:ind w:firstLine="560" w:firstLineChars="200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对于竞赛过程中发现的安全隐患或问题，请及时向主办方反馈，以便及时改进和完善。</w:t>
      </w:r>
    </w:p>
    <w:p w14:paraId="2E58CB25">
      <w:pPr>
        <w:pStyle w:val="2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0" w:firstLineChars="0"/>
        <w:jc w:val="left"/>
        <w:textAlignment w:val="auto"/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</w:p>
    <w:p w14:paraId="447A6DB2">
      <w:pPr>
        <w:pStyle w:val="2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0" w:firstLineChars="0"/>
        <w:jc w:val="left"/>
        <w:textAlignment w:val="auto"/>
        <w:rPr>
          <w:rFonts w:hint="eastAsia" w:ascii="仿宋_GB2312" w:hAnsi="Times New Roman" w:eastAsia="仿宋_GB2312" w:cs="仿宋_GB2312"/>
          <w:bCs/>
          <w:sz w:val="28"/>
          <w:szCs w:val="28"/>
          <w:lang w:val="en-US" w:eastAsia="zh-CN"/>
        </w:rPr>
      </w:pPr>
      <w:r>
        <w:rPr>
          <w:rFonts w:hint="eastAsia" w:ascii="仿宋_GB2312" w:hAnsi="Times New Roman" w:eastAsia="仿宋_GB2312" w:cs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附件：1、</w:t>
      </w:r>
      <w:r>
        <w:rPr>
          <w:rFonts w:hint="eastAsia" w:ascii="仿宋_GB2312" w:hAnsi="Times New Roman" w:eastAsia="仿宋_GB2312" w:cs="仿宋_GB2312"/>
          <w:bCs/>
          <w:sz w:val="28"/>
          <w:szCs w:val="28"/>
        </w:rPr>
        <w:t>监理资料编制</w:t>
      </w:r>
      <w:r>
        <w:rPr>
          <w:rFonts w:hint="eastAsia" w:ascii="仿宋_GB2312" w:hAnsi="Times New Roman" w:eastAsia="仿宋_GB2312" w:cs="仿宋_GB2312"/>
          <w:bCs/>
          <w:sz w:val="28"/>
          <w:szCs w:val="28"/>
          <w:lang w:val="en-US" w:eastAsia="zh-CN"/>
        </w:rPr>
        <w:t>工程案例；</w:t>
      </w:r>
    </w:p>
    <w:p w14:paraId="2E892DD3">
      <w:pPr>
        <w:pStyle w:val="2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0" w:firstLineChars="0"/>
        <w:jc w:val="left"/>
        <w:textAlignment w:val="auto"/>
        <w:rPr>
          <w:rFonts w:hint="default" w:ascii="仿宋_GB2312" w:hAnsi="Times New Roman" w:eastAsia="仿宋_GB2312" w:cs="仿宋_GB2312"/>
          <w:bCs/>
          <w:sz w:val="28"/>
          <w:szCs w:val="28"/>
          <w:lang w:val="en-US" w:eastAsia="zh-CN"/>
        </w:rPr>
      </w:pPr>
      <w:r>
        <w:rPr>
          <w:rFonts w:hint="eastAsia" w:ascii="仿宋_GB2312" w:hAnsi="Times New Roman" w:eastAsia="仿宋_GB2312" w:cs="仿宋_GB2312"/>
          <w:bCs/>
          <w:sz w:val="28"/>
          <w:szCs w:val="28"/>
          <w:lang w:val="en-US" w:eastAsia="zh-CN"/>
        </w:rPr>
        <w:t xml:space="preserve">      2、现场答辩样例。</w:t>
      </w:r>
    </w:p>
    <w:sectPr>
      <w:pgSz w:w="11906" w:h="16838"/>
      <w:pgMar w:top="1440" w:right="1440" w:bottom="1440" w:left="1440" w:header="708" w:footer="708" w:gutter="0"/>
      <w:pgNumType w:fmt="decimal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script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FE17B7">
    <w:pPr>
      <w:pStyle w:val="11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6DC4CC">
                          <w:pPr>
                            <w:pStyle w:val="11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C6DC4CC">
                    <w:pPr>
                      <w:pStyle w:val="11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trackRevisions w:val="1"/>
  <w:documentProtection w:enforcement="0"/>
  <w:compat>
    <w:ulTrailSpace/>
    <w:useFELayout/>
    <w:compatSetting w:name="compatibilityMode" w:uri="http://schemas.microsoft.com/office/word" w:val="15"/>
  </w:compat>
  <w:rsids>
    <w:rsidRoot w:val="00000000"/>
    <w:rsid w:val="002227E0"/>
    <w:rsid w:val="00600E74"/>
    <w:rsid w:val="00950240"/>
    <w:rsid w:val="00C7081A"/>
    <w:rsid w:val="0129364D"/>
    <w:rsid w:val="016C2D4F"/>
    <w:rsid w:val="01C62732"/>
    <w:rsid w:val="027C16B8"/>
    <w:rsid w:val="02C848FD"/>
    <w:rsid w:val="03832252"/>
    <w:rsid w:val="03977E2B"/>
    <w:rsid w:val="03E21913"/>
    <w:rsid w:val="0415760D"/>
    <w:rsid w:val="04C80374"/>
    <w:rsid w:val="04DB4513"/>
    <w:rsid w:val="051C2CDE"/>
    <w:rsid w:val="0549010F"/>
    <w:rsid w:val="0582681D"/>
    <w:rsid w:val="05D13E98"/>
    <w:rsid w:val="06875D43"/>
    <w:rsid w:val="07A75C55"/>
    <w:rsid w:val="07E71722"/>
    <w:rsid w:val="07F6399B"/>
    <w:rsid w:val="08817EF9"/>
    <w:rsid w:val="08C64212"/>
    <w:rsid w:val="08C847F1"/>
    <w:rsid w:val="08E878CC"/>
    <w:rsid w:val="09B01C47"/>
    <w:rsid w:val="09BF1B9E"/>
    <w:rsid w:val="0A1B43C4"/>
    <w:rsid w:val="0A950AF8"/>
    <w:rsid w:val="0AE918B4"/>
    <w:rsid w:val="0B1F7084"/>
    <w:rsid w:val="0B407F54"/>
    <w:rsid w:val="0B50112A"/>
    <w:rsid w:val="0BEB0744"/>
    <w:rsid w:val="0C5D5D34"/>
    <w:rsid w:val="0D5C1313"/>
    <w:rsid w:val="0DAF2929"/>
    <w:rsid w:val="0EB2020F"/>
    <w:rsid w:val="0F44530B"/>
    <w:rsid w:val="0F5B6E43"/>
    <w:rsid w:val="0FDA7D83"/>
    <w:rsid w:val="0FDF38BE"/>
    <w:rsid w:val="0FEE51BE"/>
    <w:rsid w:val="110113DD"/>
    <w:rsid w:val="112E2769"/>
    <w:rsid w:val="114C1E46"/>
    <w:rsid w:val="115C3A5B"/>
    <w:rsid w:val="116D7E88"/>
    <w:rsid w:val="11A24B13"/>
    <w:rsid w:val="11A958FA"/>
    <w:rsid w:val="11CD7AC2"/>
    <w:rsid w:val="11DF131B"/>
    <w:rsid w:val="120E6EEC"/>
    <w:rsid w:val="12236F4E"/>
    <w:rsid w:val="12340A10"/>
    <w:rsid w:val="1256633C"/>
    <w:rsid w:val="128922E2"/>
    <w:rsid w:val="12B02035"/>
    <w:rsid w:val="135700C2"/>
    <w:rsid w:val="136219AB"/>
    <w:rsid w:val="13AB6DD5"/>
    <w:rsid w:val="14373C93"/>
    <w:rsid w:val="14946EB4"/>
    <w:rsid w:val="14BB6DDB"/>
    <w:rsid w:val="14C03A56"/>
    <w:rsid w:val="15107F67"/>
    <w:rsid w:val="154645F8"/>
    <w:rsid w:val="15CE4B68"/>
    <w:rsid w:val="16FE4541"/>
    <w:rsid w:val="17096457"/>
    <w:rsid w:val="172C6C25"/>
    <w:rsid w:val="17725B24"/>
    <w:rsid w:val="17C4348D"/>
    <w:rsid w:val="17EF6030"/>
    <w:rsid w:val="183A54FD"/>
    <w:rsid w:val="192C6D1D"/>
    <w:rsid w:val="192F5984"/>
    <w:rsid w:val="1A3B28F2"/>
    <w:rsid w:val="1A5535FC"/>
    <w:rsid w:val="1A75169D"/>
    <w:rsid w:val="1AAD645B"/>
    <w:rsid w:val="1AAE3F81"/>
    <w:rsid w:val="1AB07AA2"/>
    <w:rsid w:val="1AB8095B"/>
    <w:rsid w:val="1ABF16F8"/>
    <w:rsid w:val="1AC11F06"/>
    <w:rsid w:val="1B7B2AD5"/>
    <w:rsid w:val="1B8805A9"/>
    <w:rsid w:val="1B9F3203"/>
    <w:rsid w:val="1BF65BDF"/>
    <w:rsid w:val="1C137887"/>
    <w:rsid w:val="1C6E4A88"/>
    <w:rsid w:val="1DAC5C6B"/>
    <w:rsid w:val="1DC57AE4"/>
    <w:rsid w:val="1E1A69D5"/>
    <w:rsid w:val="1E450758"/>
    <w:rsid w:val="1E6C03DB"/>
    <w:rsid w:val="1E954DC3"/>
    <w:rsid w:val="1EE0647F"/>
    <w:rsid w:val="1F193716"/>
    <w:rsid w:val="1F340740"/>
    <w:rsid w:val="200D799B"/>
    <w:rsid w:val="20432541"/>
    <w:rsid w:val="21D32B8D"/>
    <w:rsid w:val="224035F4"/>
    <w:rsid w:val="22405E06"/>
    <w:rsid w:val="22AD59C7"/>
    <w:rsid w:val="22E87D88"/>
    <w:rsid w:val="23A6054D"/>
    <w:rsid w:val="23C336D7"/>
    <w:rsid w:val="23D036DC"/>
    <w:rsid w:val="24402138"/>
    <w:rsid w:val="24A3267C"/>
    <w:rsid w:val="250B21D8"/>
    <w:rsid w:val="253E0F7A"/>
    <w:rsid w:val="253F55D6"/>
    <w:rsid w:val="256040C9"/>
    <w:rsid w:val="26307F40"/>
    <w:rsid w:val="26D85B4E"/>
    <w:rsid w:val="26E31456"/>
    <w:rsid w:val="27486E04"/>
    <w:rsid w:val="27A6495D"/>
    <w:rsid w:val="280C1E1C"/>
    <w:rsid w:val="28193E1C"/>
    <w:rsid w:val="285E0315"/>
    <w:rsid w:val="29B47FED"/>
    <w:rsid w:val="2A1A518F"/>
    <w:rsid w:val="2A410D4F"/>
    <w:rsid w:val="2A5B4CF3"/>
    <w:rsid w:val="2C354361"/>
    <w:rsid w:val="2C961C1B"/>
    <w:rsid w:val="2CE8783A"/>
    <w:rsid w:val="2CFF063C"/>
    <w:rsid w:val="2D99286E"/>
    <w:rsid w:val="2E300F25"/>
    <w:rsid w:val="2E516CA5"/>
    <w:rsid w:val="2E935A72"/>
    <w:rsid w:val="2EE10671"/>
    <w:rsid w:val="2F130249"/>
    <w:rsid w:val="2F194283"/>
    <w:rsid w:val="2F971030"/>
    <w:rsid w:val="309D2676"/>
    <w:rsid w:val="314765CC"/>
    <w:rsid w:val="32012025"/>
    <w:rsid w:val="32A15616"/>
    <w:rsid w:val="32BB4A78"/>
    <w:rsid w:val="32D16607"/>
    <w:rsid w:val="32FF1A9B"/>
    <w:rsid w:val="34942396"/>
    <w:rsid w:val="349921D7"/>
    <w:rsid w:val="34C7045C"/>
    <w:rsid w:val="34D46B38"/>
    <w:rsid w:val="35313D1A"/>
    <w:rsid w:val="353D0A42"/>
    <w:rsid w:val="35B50461"/>
    <w:rsid w:val="3624029C"/>
    <w:rsid w:val="36B675BD"/>
    <w:rsid w:val="36E96615"/>
    <w:rsid w:val="374B4BD9"/>
    <w:rsid w:val="377522C9"/>
    <w:rsid w:val="381D7757"/>
    <w:rsid w:val="38332D42"/>
    <w:rsid w:val="38A85F49"/>
    <w:rsid w:val="39CC538C"/>
    <w:rsid w:val="39DE7F87"/>
    <w:rsid w:val="3A3057C7"/>
    <w:rsid w:val="3A8723E4"/>
    <w:rsid w:val="3A9B7C26"/>
    <w:rsid w:val="3B06492D"/>
    <w:rsid w:val="3B5129DA"/>
    <w:rsid w:val="3B8B7371"/>
    <w:rsid w:val="3BA64AD4"/>
    <w:rsid w:val="3BA907F0"/>
    <w:rsid w:val="3BE31982"/>
    <w:rsid w:val="3BF34A1D"/>
    <w:rsid w:val="3CF76208"/>
    <w:rsid w:val="3D480096"/>
    <w:rsid w:val="3D72372C"/>
    <w:rsid w:val="3DB64D77"/>
    <w:rsid w:val="3DE47B36"/>
    <w:rsid w:val="3E295549"/>
    <w:rsid w:val="3E6B1412"/>
    <w:rsid w:val="3EC228BC"/>
    <w:rsid w:val="3F6B46B9"/>
    <w:rsid w:val="3FD21202"/>
    <w:rsid w:val="4035694E"/>
    <w:rsid w:val="4047071B"/>
    <w:rsid w:val="405F16F6"/>
    <w:rsid w:val="41B617E9"/>
    <w:rsid w:val="42132798"/>
    <w:rsid w:val="425C7AB5"/>
    <w:rsid w:val="431467C7"/>
    <w:rsid w:val="43182221"/>
    <w:rsid w:val="439B47F3"/>
    <w:rsid w:val="445D3406"/>
    <w:rsid w:val="44861F72"/>
    <w:rsid w:val="4487285F"/>
    <w:rsid w:val="4492203A"/>
    <w:rsid w:val="44E03A12"/>
    <w:rsid w:val="47DC6748"/>
    <w:rsid w:val="47EB050B"/>
    <w:rsid w:val="48515DC8"/>
    <w:rsid w:val="48B65B6A"/>
    <w:rsid w:val="48ED63DD"/>
    <w:rsid w:val="48EF74A9"/>
    <w:rsid w:val="48F93936"/>
    <w:rsid w:val="490C041E"/>
    <w:rsid w:val="492C3A29"/>
    <w:rsid w:val="4944435D"/>
    <w:rsid w:val="49690960"/>
    <w:rsid w:val="49D24F62"/>
    <w:rsid w:val="49E1146A"/>
    <w:rsid w:val="4A92476A"/>
    <w:rsid w:val="4B906C07"/>
    <w:rsid w:val="4BB628EB"/>
    <w:rsid w:val="4BF4132A"/>
    <w:rsid w:val="4C03387D"/>
    <w:rsid w:val="4C0A69B9"/>
    <w:rsid w:val="4C4E7F9D"/>
    <w:rsid w:val="4C69704A"/>
    <w:rsid w:val="4C7B3413"/>
    <w:rsid w:val="4C9E1C8D"/>
    <w:rsid w:val="4D5F5874"/>
    <w:rsid w:val="4D915EFF"/>
    <w:rsid w:val="4EA228A5"/>
    <w:rsid w:val="4EF10E84"/>
    <w:rsid w:val="4F041DE6"/>
    <w:rsid w:val="4FC74455"/>
    <w:rsid w:val="502D0896"/>
    <w:rsid w:val="50897E36"/>
    <w:rsid w:val="50AC0013"/>
    <w:rsid w:val="50BE77AF"/>
    <w:rsid w:val="50FC1AD6"/>
    <w:rsid w:val="51076786"/>
    <w:rsid w:val="512D4686"/>
    <w:rsid w:val="51B20896"/>
    <w:rsid w:val="51F5404C"/>
    <w:rsid w:val="52427345"/>
    <w:rsid w:val="52804889"/>
    <w:rsid w:val="540000E8"/>
    <w:rsid w:val="54051929"/>
    <w:rsid w:val="54C22F76"/>
    <w:rsid w:val="54C51BDB"/>
    <w:rsid w:val="54EF0E42"/>
    <w:rsid w:val="54FA2736"/>
    <w:rsid w:val="555E7AB7"/>
    <w:rsid w:val="561B0490"/>
    <w:rsid w:val="561B4764"/>
    <w:rsid w:val="56CC42D7"/>
    <w:rsid w:val="56EB5639"/>
    <w:rsid w:val="56F52014"/>
    <w:rsid w:val="571C3A45"/>
    <w:rsid w:val="57856723"/>
    <w:rsid w:val="579D764D"/>
    <w:rsid w:val="579E445A"/>
    <w:rsid w:val="57EB194A"/>
    <w:rsid w:val="58104109"/>
    <w:rsid w:val="583706D0"/>
    <w:rsid w:val="590F3861"/>
    <w:rsid w:val="59907A7D"/>
    <w:rsid w:val="59967ADE"/>
    <w:rsid w:val="5A160C1F"/>
    <w:rsid w:val="5B8B1199"/>
    <w:rsid w:val="5B9F0763"/>
    <w:rsid w:val="5C841E70"/>
    <w:rsid w:val="5E936BAB"/>
    <w:rsid w:val="5E96232F"/>
    <w:rsid w:val="5EC24ED2"/>
    <w:rsid w:val="60097065"/>
    <w:rsid w:val="604D2EC1"/>
    <w:rsid w:val="60567FC7"/>
    <w:rsid w:val="608215E4"/>
    <w:rsid w:val="60BD1DF5"/>
    <w:rsid w:val="613F280A"/>
    <w:rsid w:val="61505D6B"/>
    <w:rsid w:val="61B52ACC"/>
    <w:rsid w:val="61BC5DC9"/>
    <w:rsid w:val="61C2032D"/>
    <w:rsid w:val="61D32342"/>
    <w:rsid w:val="61E6537B"/>
    <w:rsid w:val="6236716D"/>
    <w:rsid w:val="62884389"/>
    <w:rsid w:val="633C4A55"/>
    <w:rsid w:val="637109B2"/>
    <w:rsid w:val="639A01CB"/>
    <w:rsid w:val="650A75D2"/>
    <w:rsid w:val="6522491C"/>
    <w:rsid w:val="65CE23AE"/>
    <w:rsid w:val="66057F1B"/>
    <w:rsid w:val="664D59C9"/>
    <w:rsid w:val="66524D8D"/>
    <w:rsid w:val="671D539B"/>
    <w:rsid w:val="67ED6539"/>
    <w:rsid w:val="680979E5"/>
    <w:rsid w:val="6850035B"/>
    <w:rsid w:val="6A440E91"/>
    <w:rsid w:val="6AED3E44"/>
    <w:rsid w:val="6C375E6F"/>
    <w:rsid w:val="6C641FF2"/>
    <w:rsid w:val="6C9B5D3B"/>
    <w:rsid w:val="6D1410D6"/>
    <w:rsid w:val="6D274972"/>
    <w:rsid w:val="6D4551EB"/>
    <w:rsid w:val="6D7C04E1"/>
    <w:rsid w:val="6E276AFF"/>
    <w:rsid w:val="6E2B704C"/>
    <w:rsid w:val="6E9310B7"/>
    <w:rsid w:val="6EB50676"/>
    <w:rsid w:val="6EB96428"/>
    <w:rsid w:val="6EC16F54"/>
    <w:rsid w:val="6F367BEC"/>
    <w:rsid w:val="6F5C42D7"/>
    <w:rsid w:val="6F727364"/>
    <w:rsid w:val="6F7E420C"/>
    <w:rsid w:val="6FE12430"/>
    <w:rsid w:val="703419A7"/>
    <w:rsid w:val="70357BF9"/>
    <w:rsid w:val="70BB1ECF"/>
    <w:rsid w:val="70E61A3D"/>
    <w:rsid w:val="715001C9"/>
    <w:rsid w:val="72087A05"/>
    <w:rsid w:val="72F56D0F"/>
    <w:rsid w:val="73CE5B38"/>
    <w:rsid w:val="75B33529"/>
    <w:rsid w:val="75D5222D"/>
    <w:rsid w:val="75F17ED0"/>
    <w:rsid w:val="761402B1"/>
    <w:rsid w:val="768A7484"/>
    <w:rsid w:val="77222583"/>
    <w:rsid w:val="77624746"/>
    <w:rsid w:val="77640A6E"/>
    <w:rsid w:val="776B1184"/>
    <w:rsid w:val="77D3595C"/>
    <w:rsid w:val="77F75794"/>
    <w:rsid w:val="784B5631"/>
    <w:rsid w:val="789855E7"/>
    <w:rsid w:val="790F205A"/>
    <w:rsid w:val="7A7E7D69"/>
    <w:rsid w:val="7B4231CA"/>
    <w:rsid w:val="7BC61CE8"/>
    <w:rsid w:val="7BF070CA"/>
    <w:rsid w:val="7C5331B5"/>
    <w:rsid w:val="7C5C02BC"/>
    <w:rsid w:val="7C9778B9"/>
    <w:rsid w:val="7CE65DD7"/>
    <w:rsid w:val="7D6464C5"/>
    <w:rsid w:val="7DD06E79"/>
    <w:rsid w:val="7DE71DD1"/>
    <w:rsid w:val="7E05355B"/>
    <w:rsid w:val="7E265025"/>
    <w:rsid w:val="7E412766"/>
    <w:rsid w:val="7E4321B0"/>
    <w:rsid w:val="7E8A6634"/>
    <w:rsid w:val="7EDD02E1"/>
    <w:rsid w:val="7EDF3DD6"/>
    <w:rsid w:val="7F7B2A17"/>
    <w:rsid w:val="FFFDD8A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iPriority="99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next w:val="1"/>
    <w:qFormat/>
    <w:uiPriority w:val="0"/>
    <w:pPr>
      <w:spacing w:before="380" w:after="140" w:line="288" w:lineRule="auto"/>
      <w:ind w:left="0"/>
      <w:jc w:val="left"/>
      <w:outlineLvl w:val="0"/>
    </w:pPr>
    <w:rPr>
      <w:rFonts w:ascii="Arial" w:hAnsi="Arial" w:eastAsia="等线" w:cs="Arial"/>
      <w:b/>
      <w:bCs/>
      <w:sz w:val="36"/>
      <w:szCs w:val="36"/>
    </w:rPr>
  </w:style>
  <w:style w:type="paragraph" w:styleId="3">
    <w:name w:val="heading 2"/>
    <w:basedOn w:val="4"/>
    <w:next w:val="1"/>
    <w:qFormat/>
    <w:uiPriority w:val="0"/>
    <w:pPr>
      <w:spacing w:before="320" w:after="120" w:line="288" w:lineRule="auto"/>
      <w:ind w:left="0"/>
      <w:jc w:val="left"/>
      <w:outlineLvl w:val="1"/>
    </w:pPr>
    <w:rPr>
      <w:rFonts w:ascii="Arial" w:hAnsi="Arial" w:eastAsia="等线" w:cs="Arial"/>
      <w:sz w:val="32"/>
      <w:szCs w:val="32"/>
    </w:rPr>
  </w:style>
  <w:style w:type="paragraph" w:styleId="5">
    <w:name w:val="heading 3"/>
    <w:next w:val="1"/>
    <w:qFormat/>
    <w:uiPriority w:val="0"/>
    <w:pPr>
      <w:spacing w:before="300" w:after="120" w:line="288" w:lineRule="auto"/>
      <w:ind w:left="0"/>
      <w:jc w:val="left"/>
      <w:outlineLvl w:val="2"/>
    </w:pPr>
    <w:rPr>
      <w:rFonts w:ascii="Arial" w:hAnsi="Arial" w:eastAsia="等线" w:cs="Arial"/>
      <w:b/>
      <w:bCs/>
      <w:sz w:val="30"/>
      <w:szCs w:val="30"/>
    </w:rPr>
  </w:style>
  <w:style w:type="paragraph" w:styleId="6">
    <w:name w:val="heading 4"/>
    <w:next w:val="1"/>
    <w:qFormat/>
    <w:uiPriority w:val="0"/>
    <w:pPr>
      <w:spacing w:before="260" w:after="120" w:line="288" w:lineRule="auto"/>
      <w:ind w:left="0"/>
      <w:jc w:val="left"/>
      <w:outlineLvl w:val="3"/>
    </w:pPr>
    <w:rPr>
      <w:rFonts w:ascii="Arial" w:hAnsi="Arial" w:eastAsia="等线" w:cs="Arial"/>
      <w:b/>
      <w:bCs/>
      <w:sz w:val="28"/>
      <w:szCs w:val="28"/>
    </w:rPr>
  </w:style>
  <w:style w:type="paragraph" w:styleId="7">
    <w:name w:val="heading 5"/>
    <w:next w:val="1"/>
    <w:qFormat/>
    <w:uiPriority w:val="0"/>
    <w:pPr>
      <w:spacing w:before="240" w:after="120" w:line="288" w:lineRule="auto"/>
      <w:ind w:left="0"/>
      <w:jc w:val="left"/>
      <w:outlineLvl w:val="4"/>
    </w:pPr>
    <w:rPr>
      <w:rFonts w:ascii="Arial" w:hAnsi="Arial" w:eastAsia="等线" w:cs="Arial"/>
      <w:b/>
      <w:bCs/>
      <w:sz w:val="24"/>
      <w:szCs w:val="24"/>
    </w:rPr>
  </w:style>
  <w:style w:type="paragraph" w:styleId="8">
    <w:name w:val="heading 6"/>
    <w:next w:val="1"/>
    <w:qFormat/>
    <w:uiPriority w:val="0"/>
    <w:pPr>
      <w:spacing w:before="240" w:after="120" w:line="288" w:lineRule="auto"/>
      <w:ind w:left="0"/>
      <w:jc w:val="left"/>
      <w:outlineLvl w:val="5"/>
    </w:pPr>
    <w:rPr>
      <w:rFonts w:ascii="Arial" w:hAnsi="Arial" w:eastAsia="等线" w:cs="Arial"/>
      <w:b/>
      <w:bCs/>
      <w:sz w:val="24"/>
      <w:szCs w:val="24"/>
    </w:rPr>
  </w:style>
  <w:style w:type="character" w:default="1" w:styleId="19">
    <w:name w:val="Default Paragraph Font"/>
    <w:semiHidden/>
    <w:qFormat/>
    <w:uiPriority w:val="0"/>
  </w:style>
  <w:style w:type="table" w:default="1" w:styleId="1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99"/>
    <w:pPr>
      <w:jc w:val="center"/>
    </w:pPr>
    <w:rPr>
      <w:b/>
      <w:bCs/>
      <w:sz w:val="32"/>
    </w:rPr>
  </w:style>
  <w:style w:type="paragraph" w:styleId="9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10">
    <w:name w:val="toc 3"/>
    <w:basedOn w:val="1"/>
    <w:next w:val="1"/>
    <w:qFormat/>
    <w:uiPriority w:val="0"/>
    <w:pPr>
      <w:ind w:left="840" w:leftChars="400"/>
    </w:pPr>
  </w:style>
  <w:style w:type="paragraph" w:styleId="11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3">
    <w:name w:val="toc 1"/>
    <w:basedOn w:val="1"/>
    <w:next w:val="1"/>
    <w:qFormat/>
    <w:uiPriority w:val="0"/>
  </w:style>
  <w:style w:type="paragraph" w:styleId="14">
    <w:name w:val="footnote text"/>
    <w:link w:val="24"/>
    <w:semiHidden/>
    <w:unhideWhenUsed/>
    <w:qFormat/>
    <w:uiPriority w:val="99"/>
    <w:pPr>
      <w:spacing w:after="0" w:line="240" w:lineRule="auto"/>
    </w:pPr>
    <w:rPr>
      <w:rFonts w:asciiTheme="minorHAnsi" w:hAnsiTheme="minorHAnsi" w:eastAsiaTheme="minorEastAsia" w:cstheme="minorBidi"/>
      <w:sz w:val="20"/>
      <w:szCs w:val="20"/>
    </w:rPr>
  </w:style>
  <w:style w:type="paragraph" w:styleId="15">
    <w:name w:val="toc 2"/>
    <w:basedOn w:val="1"/>
    <w:next w:val="1"/>
    <w:qFormat/>
    <w:uiPriority w:val="0"/>
    <w:pPr>
      <w:ind w:left="420" w:leftChars="200"/>
    </w:pPr>
  </w:style>
  <w:style w:type="paragraph" w:styleId="16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paragraph" w:styleId="17">
    <w:name w:val="Body Text First Indent 2"/>
    <w:basedOn w:val="9"/>
    <w:qFormat/>
    <w:uiPriority w:val="0"/>
    <w:pPr>
      <w:ind w:firstLine="420" w:firstLineChars="200"/>
    </w:pPr>
  </w:style>
  <w:style w:type="character" w:styleId="20">
    <w:name w:val="Strong"/>
    <w:qFormat/>
    <w:uiPriority w:val="22"/>
    <w:rPr>
      <w:b/>
      <w:bCs/>
    </w:rPr>
  </w:style>
  <w:style w:type="character" w:styleId="21">
    <w:name w:val="Hyperlink"/>
    <w:unhideWhenUsed/>
    <w:qFormat/>
    <w:uiPriority w:val="99"/>
    <w:rPr>
      <w:color w:val="0563C1"/>
      <w:u w:val="single"/>
    </w:rPr>
  </w:style>
  <w:style w:type="character" w:styleId="22">
    <w:name w:val="footnote reference"/>
    <w:semiHidden/>
    <w:unhideWhenUsed/>
    <w:qFormat/>
    <w:uiPriority w:val="99"/>
    <w:rPr>
      <w:vertAlign w:val="superscript"/>
    </w:rPr>
  </w:style>
  <w:style w:type="paragraph" w:styleId="23">
    <w:name w:val="List Paragraph"/>
    <w:qFormat/>
    <w:uiPriority w:val="0"/>
    <w:rPr>
      <w:rFonts w:asciiTheme="minorHAnsi" w:hAnsiTheme="minorHAnsi" w:eastAsiaTheme="minorEastAsia" w:cstheme="minorBidi"/>
      <w:sz w:val="21"/>
      <w:szCs w:val="22"/>
    </w:rPr>
  </w:style>
  <w:style w:type="character" w:customStyle="1" w:styleId="24">
    <w:name w:val="Footnote Text Char"/>
    <w:link w:val="14"/>
    <w:semiHidden/>
    <w:unhideWhenUsed/>
    <w:qFormat/>
    <w:uiPriority w:val="99"/>
    <w:rPr>
      <w:sz w:val="20"/>
      <w:szCs w:val="20"/>
    </w:rPr>
  </w:style>
  <w:style w:type="paragraph" w:customStyle="1" w:styleId="25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  <w:style w:type="paragraph" w:customStyle="1" w:styleId="26">
    <w:name w:val="_Style 14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color w:val="8F959E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13</Pages>
  <Words>4310</Words>
  <Characters>4544</Characters>
  <TotalTime>9</TotalTime>
  <ScaleCrop>false</ScaleCrop>
  <LinksUpToDate>false</LinksUpToDate>
  <CharactersWithSpaces>5018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2025-08-26T21:29:00Z</dcterms:created>
  <dc:creator>Un-named</dc:creator>
  <cp:lastModifiedBy>东海玉秃</cp:lastModifiedBy>
  <cp:lastPrinted>2025-09-15T05:24:00Z</cp:lastPrinted>
  <dcterms:modified xsi:type="dcterms:W3CDTF">2025-09-17T06:17:25Z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eyJoZGlkIjoiN2VjNTQ2MTE2NmM2YzcyYzBjY2E5YjlmNDc2ODM3MDkiLCJ1c2VySWQiOiIxMjAzNTgxODc3In0=</vt:lpwstr>
  </property>
  <property fmtid="{D5CDD505-2E9C-101B-9397-08002B2CF9AE}" pid="3" name="KSOProductBuildVer">
    <vt:lpwstr>2052-12.1.0.22529</vt:lpwstr>
  </property>
  <property fmtid="{D5CDD505-2E9C-101B-9397-08002B2CF9AE}" pid="4" name="ICV">
    <vt:lpwstr>09E069B6A58D4DD7BF12D4FF2DD82539_13</vt:lpwstr>
  </property>
</Properties>
</file>